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A4" w:rsidRDefault="00C908A4">
      <w:pPr>
        <w:spacing w:after="0"/>
      </w:pPr>
    </w:p>
    <w:p w:rsidR="00C908A4" w:rsidRPr="00E516B1" w:rsidRDefault="00C908A4">
      <w:pPr>
        <w:spacing w:after="0"/>
        <w:rPr>
          <w:lang w:val="ru-RU"/>
        </w:rPr>
      </w:pPr>
      <w:r w:rsidRPr="00E516B1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препаратов)"</w:t>
      </w:r>
    </w:p>
    <w:p w:rsidR="00C908A4" w:rsidRDefault="00C908A4">
      <w:pPr>
        <w:spacing w:after="0"/>
        <w:jc w:val="both"/>
      </w:pPr>
      <w:r w:rsidRPr="00E516B1">
        <w:rPr>
          <w:color w:val="000000"/>
          <w:sz w:val="28"/>
          <w:lang w:val="ru-RU"/>
        </w:rPr>
        <w:t xml:space="preserve">Приказ Министра здравоохранения Республики Казахстан от 19 июля 2021 года № ҚР ДСМ-62. </w:t>
      </w:r>
      <w:r>
        <w:rPr>
          <w:color w:val="000000"/>
          <w:sz w:val="28"/>
        </w:rPr>
        <w:t>Зарегистрирован в Министерстве юстиции Республики Казахстан 21 июля 2021 года № 23627</w:t>
      </w:r>
    </w:p>
    <w:p w:rsidR="00C908A4" w:rsidRDefault="00C908A4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подпунктом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ПРИКАЗЫВАЮ:</w:t>
      </w:r>
    </w:p>
    <w:p w:rsidR="00C908A4" w:rsidRDefault="00C908A4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Санитарные правила "Санитарно-эпидемиологические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препаратов)" согласно приложению 1 к настоящему приказу.</w:t>
      </w:r>
    </w:p>
    <w:p w:rsidR="00C908A4" w:rsidRDefault="00C908A4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2. Признать утратившими силу некоторые приказы Министерства здравоохранения Республики Казахстан согласно приложению 2 к настоящему приказу.</w:t>
      </w:r>
    </w:p>
    <w:p w:rsidR="00C908A4" w:rsidRDefault="00C908A4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C908A4" w:rsidRDefault="00C908A4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C908A4" w:rsidRDefault="00C908A4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C908A4" w:rsidRDefault="00C908A4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C908A4" w:rsidRDefault="00C908A4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C908A4" w:rsidRDefault="00C908A4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0A0"/>
      </w:tblPr>
      <w:tblGrid>
        <w:gridCol w:w="6036"/>
        <w:gridCol w:w="13"/>
        <w:gridCol w:w="3424"/>
        <w:gridCol w:w="304"/>
      </w:tblGrid>
      <w:tr w:rsidR="00C908A4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908A4" w:rsidRDefault="00C908A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  <w:tr w:rsidR="00C908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приказу</w:t>
            </w:r>
            <w:r>
              <w:br/>
            </w:r>
            <w:r>
              <w:rPr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color w:val="000000"/>
                <w:sz w:val="20"/>
              </w:rPr>
              <w:t>№ ҚР ДСМ-62</w:t>
            </w:r>
          </w:p>
        </w:tc>
      </w:tr>
    </w:tbl>
    <w:p w:rsidR="00C908A4" w:rsidRDefault="00C908A4">
      <w:pPr>
        <w:spacing w:after="0"/>
      </w:pPr>
      <w:bookmarkStart w:id="9" w:name="z15"/>
      <w:r>
        <w:rPr>
          <w:b/>
          <w:color w:val="000000"/>
        </w:rPr>
        <w:t xml:space="preserve"> Санитарные правила "Санитарно-эпидемиологические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препаратов)"</w:t>
      </w:r>
    </w:p>
    <w:p w:rsidR="00C908A4" w:rsidRDefault="00C908A4">
      <w:pPr>
        <w:spacing w:after="0"/>
      </w:pPr>
      <w:bookmarkStart w:id="10" w:name="z16"/>
      <w:bookmarkEnd w:id="9"/>
      <w:r>
        <w:rPr>
          <w:b/>
          <w:color w:val="000000"/>
        </w:rPr>
        <w:t xml:space="preserve"> Глава 1. Общие положения</w:t>
      </w:r>
    </w:p>
    <w:p w:rsidR="00C908A4" w:rsidRDefault="00C908A4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 xml:space="preserve">       1. Настоящие санитарные правила "Санитарно-эпидемиологические требования к хранению, транспортировке и использованию иммунологических лекарственных препаратов (иммунобиологических лекарственных препаратов)" (далее – Санитарные правила) разработаны соответствии с подпунктом 132-1) пункта 16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требования к хранению, транспортировке и использованию иммунологических лекарственных препаратов (иммунобиологических лекарственных препаратов).</w:t>
      </w:r>
    </w:p>
    <w:p w:rsidR="00C908A4" w:rsidRDefault="00C908A4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2. В настоящих Санитарных правилах применяются следующие термины и определения:</w:t>
      </w:r>
    </w:p>
    <w:p w:rsidR="00C908A4" w:rsidRDefault="00C908A4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t>      1) иммунологический лекарственный препарат (иммунобиологический лекарственный препарат) (далее – ИЛП) – лекарственный препарат, предназначенный для формирования активного или пассивного иммунитета или диагностики наличия иммунитета или диагностики (выработки) специфического приобретенного изменения иммунологического ответа на аллергизирующие вещества;</w:t>
      </w:r>
    </w:p>
    <w:p w:rsidR="00C908A4" w:rsidRDefault="00C908A4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>      2) инвентаризация – сверка фактических данных ИЛП с данными бухгалтерского учета на определенную дату;</w:t>
      </w:r>
    </w:p>
    <w:p w:rsidR="00C908A4" w:rsidRDefault="00C908A4">
      <w:pPr>
        <w:spacing w:after="0"/>
        <w:jc w:val="both"/>
      </w:pPr>
      <w:bookmarkStart w:id="15" w:name="z21"/>
      <w:bookmarkEnd w:id="14"/>
      <w:r>
        <w:rPr>
          <w:color w:val="000000"/>
          <w:sz w:val="28"/>
        </w:rPr>
        <w:t>      3) кондиционирование – приведение хладоэлементов в соответствующее агрегатное состояние таяния льда до появления конденсата на поверхности хладоэлементов;</w:t>
      </w:r>
    </w:p>
    <w:p w:rsidR="00C908A4" w:rsidRDefault="00C908A4">
      <w:pPr>
        <w:spacing w:after="0"/>
        <w:jc w:val="both"/>
      </w:pPr>
      <w:bookmarkStart w:id="16" w:name="z22"/>
      <w:bookmarkEnd w:id="15"/>
      <w:r>
        <w:rPr>
          <w:color w:val="000000"/>
          <w:sz w:val="28"/>
        </w:rPr>
        <w:t>      4) холодовая цепь – бесперебойно функционирующая система, обеспечивающая оптимальный температурный режим хранения и транспортировки ИЛП на всех этапах пути их следования от организации-изготовителя до применения;</w:t>
      </w:r>
    </w:p>
    <w:p w:rsidR="00C908A4" w:rsidRDefault="00C908A4">
      <w:pPr>
        <w:spacing w:after="0"/>
        <w:jc w:val="both"/>
      </w:pPr>
      <w:bookmarkStart w:id="17" w:name="z23"/>
      <w:bookmarkEnd w:id="16"/>
      <w:r>
        <w:rPr>
          <w:color w:val="000000"/>
          <w:sz w:val="28"/>
        </w:rPr>
        <w:t>      5) холодильный элемент (далее – хладоэлемент) – герметически закрытая емкость, заполненная водой, которая замораживается перед использованием и служит для поддержания температуры в термоконтейнере в пределах от плюс 2°С до плюс 8°С;</w:t>
      </w:r>
    </w:p>
    <w:p w:rsidR="00C908A4" w:rsidRDefault="00C908A4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6) тестирование зон температурных колебаний (картографирование) – исследование и моделирование пространственного распределения температурных колебаний в помещении (комнате, камере) для выявления температурных перепадов в различных зонах;</w:t>
      </w:r>
    </w:p>
    <w:p w:rsidR="00C908A4" w:rsidRDefault="00C908A4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7) термоиндикатор – контрольная карточка, которая следует вместе с вакциной от отправителя до получателя и фиксирует воздействие температуры на вакцину путем изменения цвета индикатора;</w:t>
      </w:r>
    </w:p>
    <w:p w:rsidR="00C908A4" w:rsidRDefault="00C908A4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8) термоконтейнер – ящик (или сумка) для переноса ИЛП с теплоизолирующими свойствами и плотно прилегающей крышкой, где оптимальный температурный режим (от плюс 2 градусов Цельсия (далее – 0С) до плюс 80С) обеспечивается с помощью помещенных в его полость замороженных холодильных элементов;</w:t>
      </w:r>
    </w:p>
    <w:p w:rsidR="00C908A4" w:rsidRDefault="00C908A4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9) алгоритм мероприятий – документально оформленный комплект инструкций по выполнению определенных рабочих процедур или действий;</w:t>
      </w:r>
    </w:p>
    <w:p w:rsidR="00C908A4" w:rsidRDefault="00C908A4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10) калибровка эталона единицы величины или средства измерений (далее – калибровка) – совокупность операций, устанавливающих соотношение между значением величины, полученным с помощью данного эталона единицы величины или средства измерений, и соответствующим значением величины, определенным с помощью эталона единицы величины более высокой точности, в целях определения действительных значений метрологических характеристик эталона единицы величины или средства измерений.</w:t>
      </w:r>
    </w:p>
    <w:p w:rsidR="00C908A4" w:rsidRDefault="00C908A4">
      <w:pPr>
        <w:spacing w:after="0"/>
      </w:pPr>
      <w:bookmarkStart w:id="23" w:name="z29"/>
      <w:bookmarkEnd w:id="22"/>
      <w:r>
        <w:rPr>
          <w:b/>
          <w:color w:val="000000"/>
        </w:rPr>
        <w:t xml:space="preserve"> Глава 2. Санитарно-эпидемиологические требования к хранению иммунологических лекарственных препаратов (иммунобиологических лекарственных препаратов)</w:t>
      </w:r>
    </w:p>
    <w:p w:rsidR="00C908A4" w:rsidRDefault="00C908A4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3. Склад для хранения ИЛП размещается в отдельно стоящем здании или на первом этаже здания организации здравоохранения, имеет самостоятельный выход наружу, изолированный от других помещений либо в сухом проветриваемом подвальном помещении.</w:t>
      </w:r>
    </w:p>
    <w:p w:rsidR="00C908A4" w:rsidRDefault="00C908A4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t xml:space="preserve">       Требования к размещению склада для хранения ИЛП, отоплению, вентиляции, искусственному и естественному освещению обеспечиваются в соответствии с нормативными правовыми актами в сфере санитарно-эпидемиологического благополучия населения, утверждаемыми согласно подпункту 132-1) пункта 16 Положения.</w:t>
      </w:r>
    </w:p>
    <w:p w:rsidR="00C908A4" w:rsidRDefault="00C908A4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4. Ежегодно проводится профилактический технический осмотр состояния складских помещений и их коммунальных сооружений, холодильного оборудования, холодильных и морозильных комнат или камер.</w:t>
      </w:r>
    </w:p>
    <w:p w:rsidR="00C908A4" w:rsidRDefault="00C908A4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5. На складе для хранения ИЛП устанавливаются холодильники, морозильники (далее – холодильное оборудование), холодильные и морозильные комнаты или камеры.</w:t>
      </w:r>
    </w:p>
    <w:p w:rsidR="00C908A4" w:rsidRDefault="00C908A4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6. При складе ИЛП предусматриваются погрузочно-разгрузочная площадка и подъездные пути для автотранспорта.</w:t>
      </w:r>
    </w:p>
    <w:p w:rsidR="00C908A4" w:rsidRDefault="00C908A4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>      7. Склад состоит из помещений для хранения, распаковки и упаковки ИЛП, хранения запаса шприцев, хладоэлементов, термоконтейнеров и упаковочного материала.</w:t>
      </w:r>
    </w:p>
    <w:p w:rsidR="00C908A4" w:rsidRDefault="00C908A4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 xml:space="preserve">       8. На складе предусматривается зона карантина для изоляции возвращенных, бракованных, отозванных, изъятых или приостановленных к применению ИЛП, в том числе отдельных серий ИЛП, использование которых приостановлено в связи с ограничительными мероприятиями, в том числе карантином, вводимыми постановлением Главного государственного санитарного врача Республики Казахстан в соответствии с пунктом 3 статьи 104 Кодекса Республики Казахстан "О здоровье народа и системе здравоохранения".</w:t>
      </w:r>
    </w:p>
    <w:p w:rsidR="00C908A4" w:rsidRDefault="00C908A4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 9. ИЛП, находящиеся в зоне карантина, маркируются с указанием статуса (возвращен, бракован, отозван, изъят, приостановлен, с истекшим сроком годности). В зоне карантина обеспечиваются условия холодовой цепи.</w:t>
      </w:r>
    </w:p>
    <w:p w:rsidR="00C908A4" w:rsidRDefault="00C908A4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>      10. Склад запирается и в конце рабочего дня опечатывается ответственным лицом за хранение и транспортировку ИЛП (далее – ответственное лицо). Доступ в помещение склада допускается только для ответственного лица. Для предупреждения взлома, пожара, задымления склад оборудуется сигнализацией.</w:t>
      </w:r>
    </w:p>
    <w:p w:rsidR="00C908A4" w:rsidRDefault="00C908A4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11. На случай отключения электроэнергии предусматривается автоматическое подключение холодильного оборудования, холодильных и морозильных комнат или камер к системе бесперебойного электроснабжения (генератор).</w:t>
      </w:r>
    </w:p>
    <w:p w:rsidR="00C908A4" w:rsidRDefault="00C908A4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t>      12. На случай возникновения чрезвычайных ситуаций и (или) неисправности холодильного оборудования, холодильных и морозильных комнат или камер или отключения электроэнергии, разрабатывается план экстренных мероприятий по обеспечению условий холодовой цепи для хранения ИЛП, который утверждается руководителем организации, осуществляющей хранение ИЛП и согласовывается с руководителем организации, на складе которой предполагается временное размещение ИЛП.</w:t>
      </w:r>
    </w:p>
    <w:p w:rsidR="00C908A4" w:rsidRDefault="00C908A4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>      13. Для соблюдения условий холодовой цепи при хранении и транспортировке ИЛП предусматриваются резервное холодильное оборудование, холодильные комнаты или камеры, запасные части к ним, термоконтейнеры, хладоэлементы.</w:t>
      </w:r>
    </w:p>
    <w:p w:rsidR="00C908A4" w:rsidRDefault="00C908A4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>      14. Холодильное оборудование, холодильные и морозильные комнаты или камеры обеспечивают необходимый объем для удовлетворения максимального уровня запасов ИЛП в период поставок.</w:t>
      </w:r>
    </w:p>
    <w:p w:rsidR="00C908A4" w:rsidRDefault="00C908A4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>      15. Холодильные и морозильные комнаты или камеры оборудуются:</w:t>
      </w:r>
    </w:p>
    <w:p w:rsidR="00C908A4" w:rsidRDefault="00C908A4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1) системой автоматического размораживания с минимальным влиянием на температуру внутри помещения во время периода размораживания и удерживающей температуру в определенных пределах в течение этого периода;</w:t>
      </w:r>
    </w:p>
    <w:p w:rsidR="00C908A4" w:rsidRDefault="00C908A4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>      2) системой защиты от низких температур в условиях холодного климата;</w:t>
      </w:r>
    </w:p>
    <w:p w:rsidR="00C908A4" w:rsidRDefault="00C908A4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3) откалиброванной системой беспрерывного мониторинга температуры с сенсорами, расположенными в местах, отражающих температурные перепады и экстремальные температуры; сенсоры располагаются таким образом, чтобы минимизировать влияние временных факторов (открывание двери);</w:t>
      </w:r>
    </w:p>
    <w:p w:rsidR="00C908A4" w:rsidRDefault="00C908A4">
      <w:pPr>
        <w:spacing w:after="0"/>
        <w:jc w:val="both"/>
      </w:pPr>
      <w:bookmarkStart w:id="41" w:name="z47"/>
      <w:bookmarkEnd w:id="40"/>
      <w:r>
        <w:rPr>
          <w:color w:val="000000"/>
          <w:sz w:val="28"/>
        </w:rPr>
        <w:t>      4) откалиброванной системой беспрерывного мониторинга влажности с сенсорами, расположенными в местах, отражающих экстремальные уровни влажности;</w:t>
      </w:r>
    </w:p>
    <w:p w:rsidR="00C908A4" w:rsidRDefault="00C908A4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5) визуальной и (или) звуковой сигнализацией для оповещения об отклонениях температуры и (или) выходе из строя системы охлаждения;</w:t>
      </w:r>
    </w:p>
    <w:p w:rsidR="00C908A4" w:rsidRDefault="00C908A4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6) запирающимися дверями, при этом замки оборудуются устройством безопасности для легкого открывания двери изнутри;</w:t>
      </w:r>
    </w:p>
    <w:p w:rsidR="00C908A4" w:rsidRDefault="00C908A4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7) стеллажами, высотой не менее 10 сантиметров (далее – см) от пола.</w:t>
      </w:r>
    </w:p>
    <w:p w:rsidR="00C908A4" w:rsidRDefault="00C908A4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>      16. Калибровка устройств для контроля и мониторинга температуры и влажности проводится не реже одного раза в год. Одноразовые устройства, поставляемые с сертификатом калибровки производителя не требуют перекалибровки.</w:t>
      </w:r>
    </w:p>
    <w:p w:rsidR="00C908A4" w:rsidRDefault="00C908A4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17. В холодильных и морозильных комнатах или камерах проводится тестирование зон температурных колебаний при вводе в эксплуатацию и после проведения ремонта для определения зон, где не следует хранить ИЛП (зоны в непосредственной близости от системы охлаждения или потоков холодного воздуха) с оформлением заключения, содержащего показания температуры в каждой контрольной точке, которое хранится у ответственного лица.</w:t>
      </w:r>
    </w:p>
    <w:p w:rsidR="00C908A4" w:rsidRDefault="00C908A4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t>      18. Замеры проводятся по следующим контрольным точкам: первая и вторая - справа и слева от входной двери, третья – в центре камеры и (или) комнаты, четвертая, пятая, шестая и седьмая – по углам камеры и (или) комнаты, восьмая и девятая - в центре левой и правой боковых стен камеры и (или) комнаты, десятая – в центре задней боковой стены. Термометры в контрольных точках располагаются на трех уровнях по вертикали – у пола, по центру и у потолка на расстоянии не менее 20 сантиметров от поверхности стены (пола, потолка).</w:t>
      </w:r>
    </w:p>
    <w:p w:rsidR="00C908A4" w:rsidRDefault="00C908A4">
      <w:pPr>
        <w:spacing w:after="0"/>
        <w:jc w:val="both"/>
      </w:pPr>
      <w:bookmarkStart w:id="48" w:name="z54"/>
      <w:bookmarkEnd w:id="47"/>
      <w:r>
        <w:rPr>
          <w:color w:val="000000"/>
          <w:sz w:val="28"/>
        </w:rPr>
        <w:t>      19. Тестирование зон температурных колебаний проводится в случаях, когда мониторинг температуры показывает необъяснимые перепады.</w:t>
      </w:r>
    </w:p>
    <w:p w:rsidR="00C908A4" w:rsidRDefault="00C908A4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20. Не реже одного раза в год холодильное оборудование, холодильные и морозильные комнаты или камеры подлежат проведению профилактического технического осмотра квалифицированным специалистом.</w:t>
      </w:r>
    </w:p>
    <w:p w:rsidR="00C908A4" w:rsidRDefault="00C908A4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>      21. В холодильных и морозильных комнатах или камерах проводится тестирование зон температурных колебаний при вводе в эксплуатацию и после проведения ремонта для определения зон, где не следует хранить ИЛП (зоны в непосредственной близости от системы охлаждения или потоков холодного воздуха) с оформлением результата замеров, содержащего показания температуры в каждой контрольной точке, который хранится у ответственного лица.</w:t>
      </w:r>
    </w:p>
    <w:p w:rsidR="00C908A4" w:rsidRDefault="00C908A4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>      22. Для хранения ИЛП конструируются специальные холодильные и морозильные комнаты (камеры) или устанавливаются холодильные оборудования, предназначенные для хранения ИЛП.</w:t>
      </w:r>
    </w:p>
    <w:p w:rsidR="00C908A4" w:rsidRDefault="00C908A4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23. ИЛП защищаются от воздействия света. Не допускается совместное хранение ИЛП с посторонними предметами и непосредственно на полу.</w:t>
      </w:r>
    </w:p>
    <w:p w:rsidR="00C908A4" w:rsidRDefault="00C908A4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 xml:space="preserve">       24. При хранении ИЛП размещаются на стеллажах или полках холодильного оборудования, холодильных и морозильных комнат или камер раздельно по их видам, с учетом сроков годности и серии. Ежедневно, 2 раза в сутки (утром и вечером) отмечается температура холодильного оборудования, холодильных и морозильных комнат или камер в журнале учета температурного режима холодильного оборудования, холодильных и морозильных комнат или камер по форме согласно приложению 1 к настоящим Санитарным правилам.</w:t>
      </w:r>
    </w:p>
    <w:p w:rsidR="00C908A4" w:rsidRDefault="00C908A4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 xml:space="preserve">       25. Хранение и транспортировка ИЛП осуществляется с соблюдением холодовой цепи при температурных условиях хранения ИЛП согласно приложению 2 к настоящим Санитарным правилам.</w:t>
      </w:r>
    </w:p>
    <w:p w:rsidR="00C908A4" w:rsidRDefault="00C908A4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26. Холодильное оборудование, холодильные и морозильные комнаты или камеры, термоконтейнеры содержатся в чистоте. Не допускается превышение слоя инея на стенках холодильных камер более 5 миллиметров.</w:t>
      </w:r>
    </w:p>
    <w:p w:rsidR="00C908A4" w:rsidRDefault="00C908A4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27. Поставщик ИЛП предварительно не позднее 24 часов до поступления груза оповещает получателя о сроке его поставки.</w:t>
      </w:r>
    </w:p>
    <w:p w:rsidR="00C908A4" w:rsidRDefault="00C908A4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>      28. При получении ИЛП груз незамедлительно помещается в холодильное оборудование, холодильные и морозильные комнаты или камеры и производится разгрузка термоконтейнеров. По окончании разгрузки заполняется акт приема партии ИЛП по форме согласно приложению 3 к настоящим Санитарным правилам.</w:t>
      </w:r>
    </w:p>
    <w:p w:rsidR="00C908A4" w:rsidRDefault="00C908A4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29. Данные о ИЛП заносятся в журнал учета ИЛП согласно приложению 4 к настоящим Санитарным правилам. Инвентаризация ИЛП проводится не реже 2 раз в год, с отражением: наименования ИЛП, фактического количества остатка на складе и количества по данным учетной документации, наличие отклонений.</w:t>
      </w:r>
    </w:p>
    <w:p w:rsidR="00C908A4" w:rsidRDefault="00C908A4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 xml:space="preserve">       30. На всех уровнях хранения и транспортировки вакцин проводится регистрация показаний термоиндикаторов в акте приема партии ИЛП согласно приложению 3 к настоящим Санитарным правилам и в журнале учета ИЛП согласно приложению 4 к настоящим Санитарным правилам.</w:t>
      </w:r>
    </w:p>
    <w:p w:rsidR="00C908A4" w:rsidRDefault="00C908A4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31. Для соблюдения мер по обеспечению личной безопасности, перед входом в холодильную и морозильную комнату или камеру необходимо:</w:t>
      </w:r>
    </w:p>
    <w:p w:rsidR="00C908A4" w:rsidRDefault="00C908A4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1) предварительно оповестить об этом сотрудника, имеющего возможность, в случае необходимости, открыть дверь снаружи;</w:t>
      </w:r>
    </w:p>
    <w:p w:rsidR="00C908A4" w:rsidRDefault="00C908A4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>      2) проверить возможность открытия двери изнутри.</w:t>
      </w:r>
    </w:p>
    <w:p w:rsidR="00C908A4" w:rsidRDefault="00C908A4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32. Не допускается вход в холодильную и морозильную комнату или камеру без утепленной одежды.</w:t>
      </w:r>
    </w:p>
    <w:p w:rsidR="00C908A4" w:rsidRDefault="00C908A4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33. Для быстрой заморозки хладоэлементов используются морозильные камеры.</w:t>
      </w:r>
    </w:p>
    <w:p w:rsidR="00C908A4" w:rsidRDefault="00C908A4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34. В медицинских организациях для хранения ИЛП используются холодильники, установленные в прививочных кабинетах, прививочных пунктах (прививочных кабинетах). В организациях здравоохранения, оказывающих медицинскую помощь в стационарных условиях, используются отдельные холодильники для хранения ИЛП, расположенные в процедурных кабинетах. Хранение ИЛП в кармашке дверцы холодильника не допускается.</w:t>
      </w:r>
    </w:p>
    <w:p w:rsidR="00C908A4" w:rsidRDefault="00C908A4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>      35. Для поддержания температуры, на нижней полке холодильника помещаются емкости с водой. На случай кратковременного отключения электроэнергии, не превышающего 12 часов, для поддержания температуры на нижнюю полку холодильника дополнительно помещается запас замороженных хладоэлементов.</w:t>
      </w:r>
    </w:p>
    <w:p w:rsidR="00C908A4" w:rsidRDefault="00C908A4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36. Каждый холодильник снабжается двумя термометрами, которые устанавливаются в верхней и нижней части холодильника. Термометры подвергаются ежегодной метрологической поверке.</w:t>
      </w:r>
    </w:p>
    <w:p w:rsidR="00C908A4" w:rsidRDefault="00C908A4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37. При хранении ИЛП обеспечивается:</w:t>
      </w:r>
    </w:p>
    <w:p w:rsidR="00C908A4" w:rsidRDefault="00C908A4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 1) доступ охлажденного воздуха к каждой упаковке;</w:t>
      </w:r>
    </w:p>
    <w:p w:rsidR="00C908A4" w:rsidRDefault="00C908A4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>      2) заполнение холодильного оборудования с учетом сроков годности ИЛП. При этом, ИЛП с меньшим сроком годности отпускаются или используются в первую очередь.</w:t>
      </w:r>
    </w:p>
    <w:p w:rsidR="00C908A4" w:rsidRDefault="00C908A4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t>      38. Не допускается заполнение ИЛП и хладоэлементами более половины общего объема холодильного оборудования, холодильных и морозильных комнат или камер.</w:t>
      </w:r>
    </w:p>
    <w:p w:rsidR="00C908A4" w:rsidRDefault="00C908A4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>      39. Сроки хранения ИЛП не превышают:</w:t>
      </w:r>
    </w:p>
    <w:p w:rsidR="00C908A4" w:rsidRDefault="00C908A4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1) на центральных складах местных органов государственного управления здравоохранения областей, города республиканского значения и столицы - шести месяцев со дня поступления;</w:t>
      </w:r>
    </w:p>
    <w:p w:rsidR="00C908A4" w:rsidRDefault="00C908A4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2) на складах медицинских организаций районов в городе, районов, городов районного значения – трех месяцев со дня поступления;</w:t>
      </w:r>
    </w:p>
    <w:p w:rsidR="00C908A4" w:rsidRDefault="00C908A4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3) в медицинских организациях, непосредственно проводящих прививки – одного месяца со дня поступления;</w:t>
      </w:r>
    </w:p>
    <w:p w:rsidR="00C908A4" w:rsidRDefault="00C908A4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>      4) в прививочных пунктах (прививочных кабинетах) (дошкольных организаций, организации среднего образования) – одной недели со дня поступления.</w:t>
      </w:r>
    </w:p>
    <w:p w:rsidR="00C908A4" w:rsidRDefault="00C908A4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40. На каждом уровне хранения и транспортировки ИЛП руководителем организации разрабатываются и утверждаются алгоритмы мероприятий, обеспечивающих соблюдения условий хранения, транспортировки и использования ИЛП, включая следующие вопросы, но не ограничиваясь ими:</w:t>
      </w:r>
    </w:p>
    <w:p w:rsidR="00C908A4" w:rsidRDefault="00C908A4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>      1) тестирование зон температурных колебаний (картографирование);</w:t>
      </w:r>
    </w:p>
    <w:p w:rsidR="00C908A4" w:rsidRDefault="00C908A4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2) калибровка устройств для мониторинга температуры, влажности и систем сигнализации;</w:t>
      </w:r>
    </w:p>
    <w:p w:rsidR="00C908A4" w:rsidRDefault="00C908A4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3) обслуживание помещений;</w:t>
      </w:r>
    </w:p>
    <w:p w:rsidR="00C908A4" w:rsidRDefault="00C908A4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>      4) мониторинг температуры;</w:t>
      </w:r>
    </w:p>
    <w:p w:rsidR="00C908A4" w:rsidRDefault="00C908A4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5) обслуживание оборудования по контролю температуры;</w:t>
      </w:r>
    </w:p>
    <w:p w:rsidR="00C908A4" w:rsidRDefault="00C908A4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6) процедуры регистрации получения ИЛП;</w:t>
      </w:r>
    </w:p>
    <w:p w:rsidR="00C908A4" w:rsidRDefault="00C908A4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>      7) процедуры хранения запасов ИЛП;</w:t>
      </w:r>
    </w:p>
    <w:p w:rsidR="00C908A4" w:rsidRDefault="00C908A4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>      8) подготовка термоконтейнеров с ИЛП к отправке;</w:t>
      </w:r>
    </w:p>
    <w:p w:rsidR="00C908A4" w:rsidRDefault="00C908A4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>      9) работа транспортных средств с контролируемой температурой (авторефрижераторов);</w:t>
      </w:r>
    </w:p>
    <w:p w:rsidR="00C908A4" w:rsidRDefault="00C908A4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>      10) безопасная работа с ИЛП;</w:t>
      </w:r>
    </w:p>
    <w:p w:rsidR="00C908A4" w:rsidRDefault="00C908A4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>      11) процедуры, связанные с возвратом, приостановлением, порчей ИЛП;</w:t>
      </w:r>
    </w:p>
    <w:p w:rsidR="00C908A4" w:rsidRDefault="00C908A4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12) безопасное уничтожение не пригодных ИЛП;</w:t>
      </w:r>
    </w:p>
    <w:p w:rsidR="00C908A4" w:rsidRDefault="00C908A4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13) мероприятия в случае отклонений температуры;</w:t>
      </w:r>
    </w:p>
    <w:p w:rsidR="00C908A4" w:rsidRDefault="00C908A4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14) процедуры при реагировании на чрезвычайные ситуации;</w:t>
      </w:r>
    </w:p>
    <w:p w:rsidR="00C908A4" w:rsidRDefault="00C908A4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>      15) уборка помещений.</w:t>
      </w:r>
    </w:p>
    <w:p w:rsidR="00C908A4" w:rsidRDefault="00C908A4">
      <w:pPr>
        <w:spacing w:after="0"/>
      </w:pPr>
      <w:bookmarkStart w:id="93" w:name="z99"/>
      <w:bookmarkEnd w:id="92"/>
      <w:r>
        <w:rPr>
          <w:b/>
          <w:color w:val="000000"/>
        </w:rPr>
        <w:t xml:space="preserve"> Глава 3. Санитарно-эпидемиологические требования к транспортировке иммунологических лекарственных препаратов (иммунобиологических лекарственных препаратов)</w:t>
      </w:r>
    </w:p>
    <w:p w:rsidR="00C908A4" w:rsidRDefault="00C908A4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 xml:space="preserve">       41. Транспортировка ИЛП, в том числе возвращенных, бракованных, отозванных, изъятых или приостановленных к применению ИЛП, осуществляется в термоконтейнерах с хладоэлементами или в специальном автотранспорте, оборудованном холодильником (авторефрижератором) при температурных условиях транспортировки ИЛП согласно приложению 2 к настоящим Санитарным правилам в максимально сжатые сроки, но не более 48 часов с момента их загрузки.</w:t>
      </w:r>
    </w:p>
    <w:p w:rsidR="00C908A4" w:rsidRDefault="00C908A4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>      42. Авторефрижераторы обеспечивают температурные условия транспортировки ИЛП согласно приложению 2 к настоящим Санитарным правилам на всем протяжении пути следования по доставке ИЛП и обеспечиваются:</w:t>
      </w:r>
    </w:p>
    <w:p w:rsidR="00C908A4" w:rsidRDefault="00C908A4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>      1) системой защиты от низких температур в условиях холодного климата;</w:t>
      </w:r>
    </w:p>
    <w:p w:rsidR="00C908A4" w:rsidRDefault="00C908A4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>      2) откалиброванными устройствами для мониторинга температуры с сенсорами, расположенными в местах отображающих температурные перепады;</w:t>
      </w:r>
    </w:p>
    <w:p w:rsidR="00C908A4" w:rsidRDefault="00C908A4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>      3) сигнализацией, указывающей водителю на отклонение температуры и (или) выход из строя системы охлаждения;</w:t>
      </w:r>
    </w:p>
    <w:p w:rsidR="00C908A4" w:rsidRDefault="00C908A4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4) глобальной спутниковой навигационной системой для слежения за температурным режимом по пути следования;</w:t>
      </w:r>
    </w:p>
    <w:p w:rsidR="00C908A4" w:rsidRDefault="00C908A4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>      5) дверями с пломбами и (или) замками;</w:t>
      </w:r>
    </w:p>
    <w:p w:rsidR="00C908A4" w:rsidRDefault="00C908A4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 xml:space="preserve">       6) тестированием зон температурных колебаний при вводе в эксплуатацию и после проведения ремонта с проведением замеров в соответствии с пунктом 18 настоящих Санитарных правил.</w:t>
      </w:r>
    </w:p>
    <w:p w:rsidR="00C908A4" w:rsidRDefault="00C908A4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 xml:space="preserve">       43. Для транспортировки ИЛП используется термоконтейнер, обеспечивающий температурные условия транспортировки ИЛП согласно приложению 2 к настоящим Санитарным правилам, защищающий ИЛП от перепадов температуры окружающей среды, механического повреждения.</w:t>
      </w:r>
    </w:p>
    <w:p w:rsidR="00C908A4" w:rsidRDefault="00C908A4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44. Каждый термоконтейнер маркируется с указанием типа ИЛП, температурных пределов хранения, требуемых для сохранности их качества.</w:t>
      </w:r>
    </w:p>
    <w:p w:rsidR="00C908A4" w:rsidRDefault="00C908A4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45. При перевозке ИЛП на воздушном транспорте, термоконтейнеры с ИЛП маркируются с использованием стандартных символов чувствительности к температуре и времени Международной ассоциации воздушного транспорта.</w:t>
      </w:r>
    </w:p>
    <w:p w:rsidR="00C908A4" w:rsidRDefault="00C908A4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>      46. Поставщиками при проведении таможенных операций ИЛП обеспечивается соблюдение условий холодовой цепи при нахождении ИЛП на складе временного хранения.</w:t>
      </w:r>
    </w:p>
    <w:p w:rsidR="00C908A4" w:rsidRDefault="00C908A4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47. В каждый термоконтейнер с ИЛП вкладываются термоиндикаторы. При хранении и транспортировке ИЛП, чувствительных к действию низких температур, используются индикаторы замораживания.</w:t>
      </w:r>
    </w:p>
    <w:p w:rsidR="00C908A4" w:rsidRDefault="00C908A4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>      48. Перед загрузкой термоконтейнеров ИЛП проводится кондиционирование хладоэлементов.</w:t>
      </w:r>
    </w:p>
    <w:p w:rsidR="00C908A4" w:rsidRDefault="00C908A4">
      <w:pPr>
        <w:spacing w:after="0"/>
      </w:pPr>
      <w:bookmarkStart w:id="108" w:name="z114"/>
      <w:bookmarkEnd w:id="107"/>
      <w:r>
        <w:rPr>
          <w:b/>
          <w:color w:val="000000"/>
        </w:rPr>
        <w:t xml:space="preserve"> Глава 4. Санитарно-эпидемиологические требования к использованию иммунологических лекарственных препаратов (иммунобиологических лекарственных препаратов)</w:t>
      </w:r>
    </w:p>
    <w:p w:rsidR="00C908A4" w:rsidRDefault="00C908A4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49. Перед применением ИЛП следует изучить приложенную к нему инструкцию, проверить срок годности, маркировку и целостность ампулы (флакона, шприца с ИЛП), соответствие препарата прилагаемой инструкции.</w:t>
      </w:r>
    </w:p>
    <w:p w:rsidR="00C908A4" w:rsidRDefault="00C908A4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50. Не допускается использование следующих вакцин и других ИЛП:</w:t>
      </w:r>
    </w:p>
    <w:p w:rsidR="00C908A4" w:rsidRDefault="00C908A4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1) адсорбированного дифтерийно-столбнячного анатоксина с уменьшенным содержанием антигена (далее – АДС-М), столбнячного анатоксина (далее – АС), вакцин, содержащих адсорбированную коклюшно-дифтерийно-столбнячную вакцину с цельноклеточным и бесклеточным коклюшным компонентом (далее – АбКДС), вакцин против вирусных гепатитов, пневмококковой инфекции, вируса папилломы человека и инактивированной вакцины против полиомиелита, а также других жидких и адсорбированных вакцин, подвергшихся замораживанию;</w:t>
      </w:r>
    </w:p>
    <w:p w:rsidR="00C908A4" w:rsidRDefault="00C908A4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>      2) подвергшихся действию повышенной температуры на основании показаний флаконного индикатора или других термоиндикаторов;</w:t>
      </w:r>
    </w:p>
    <w:p w:rsidR="00C908A4" w:rsidRDefault="00C908A4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>      3) из открытых флаконов при несоблюдении соответствующих требований к хранению, предъявляемых к ним.</w:t>
      </w:r>
    </w:p>
    <w:p w:rsidR="00C908A4" w:rsidRDefault="00C908A4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>      51. Лиофилизированные вакцины (против кори, паротита, краснухи, гемофильной инфекции, туберкулеза) растворяют приложенным к вакцине стандартным растворителем при строгом соблюдении правил асептики, если иное не предусмотрено инструкцией, прилагаемой к вакцине.</w:t>
      </w:r>
    </w:p>
    <w:p w:rsidR="00C908A4" w:rsidRDefault="00C908A4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>      52. Температура растворителя при разведении ИЛП соответствует температуре ИЛП. Растворитель не подлежит замораживанию.</w:t>
      </w:r>
    </w:p>
    <w:p w:rsidR="00C908A4" w:rsidRDefault="00C908A4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>      53. "Открытые флаконы" используются при соблюдении следующих условий:</w:t>
      </w:r>
    </w:p>
    <w:p w:rsidR="00C908A4" w:rsidRDefault="00C908A4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>      1) не истек срок годности препарата;</w:t>
      </w:r>
    </w:p>
    <w:p w:rsidR="00C908A4" w:rsidRDefault="00C908A4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t>      2) соблюдается температура хранения;</w:t>
      </w:r>
    </w:p>
    <w:p w:rsidR="00C908A4" w:rsidRDefault="00C908A4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>      3) соблюдается стерильность;</w:t>
      </w:r>
    </w:p>
    <w:p w:rsidR="00C908A4" w:rsidRDefault="00C908A4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4) отсутствуют видимые изменения вакцины.</w:t>
      </w:r>
    </w:p>
    <w:p w:rsidR="00C908A4" w:rsidRDefault="00C908A4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>      54. "Открытые флаконы" АбКДС-содержащей вакцины, АДС-М, АС, вакцины против полиомиелита, пневмококковой инфекции, вирусного гепатита В и А допускаются к использованию в течение трех суток при соблюдении условий, изложенных в пункте 53 настоящих Санитарных правил.</w:t>
      </w:r>
    </w:p>
    <w:p w:rsidR="00C908A4" w:rsidRDefault="00C908A4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55. На этикетке "Открытых флаконов" вакцин указывается дата и время открытия флаконов.</w:t>
      </w:r>
    </w:p>
    <w:p w:rsidR="00C908A4" w:rsidRDefault="00C908A4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     56. "Открытые флаконы" из одного прививочного кабинета в другой не переносятся.</w:t>
      </w:r>
    </w:p>
    <w:p w:rsidR="00C908A4" w:rsidRDefault="00C908A4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57. Вакцины против кори, краснухи, паротита, туберкулеза, желтой лихорадки используются сразу или в течение шести часов после разведения, если это допускается инструкцией с последующим уничтожением остатков вакцин.</w:t>
      </w:r>
    </w:p>
    <w:p w:rsidR="00C908A4" w:rsidRDefault="00C908A4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>      58. ИЛП, выпускаемые в ампулах, используются сразу после открытия.</w:t>
      </w:r>
    </w:p>
    <w:p w:rsidR="00C908A4" w:rsidRDefault="00C908A4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 xml:space="preserve">       59. Флаконы и ампулы, в том числе с остатками ИЛП, использованные для иммунизации населения уничтожаются в соответствии с Правилами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Казахстан, утвержденными приказом Министра здравоохранения Республики Казахстан от 27 октября 2020 года № ҚР ДСМ-155/2020 (зарегистрирован в Реестре государственной регистрации нормативных правовых актов под № 21533).</w:t>
      </w:r>
    </w:p>
    <w:p w:rsidR="00C908A4" w:rsidRDefault="00C908A4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60. В случаях неиспользования ИЛП в прививочных пунктах в установленные сроки хранения, их остатки в течение 5 рабочих дней сдаются в медицинские организации вышестоящего уровня.</w:t>
      </w:r>
    </w:p>
    <w:p w:rsidR="00C908A4" w:rsidRDefault="00C908A4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>      61. В случае истечения срока годности, наличия признаков непригодности (изменение цвета, наличие посторонних элементов, осадка, трещин на емкости, отсутствие или недостаточный объем) ИЛП списываются и уничтожаются с составлением акта списания и уничтожения.</w:t>
      </w:r>
    </w:p>
    <w:tbl>
      <w:tblPr>
        <w:tblW w:w="0" w:type="auto"/>
        <w:tblCellSpacing w:w="0" w:type="auto"/>
        <w:tblLook w:val="00A0"/>
      </w:tblPr>
      <w:tblGrid>
        <w:gridCol w:w="5826"/>
        <w:gridCol w:w="3951"/>
      </w:tblGrid>
      <w:tr w:rsidR="00C908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color w:val="000000"/>
                <w:sz w:val="20"/>
              </w:rPr>
              <w:t xml:space="preserve">требования к хранению, </w:t>
            </w:r>
            <w:r>
              <w:br/>
            </w:r>
            <w:r>
              <w:rPr>
                <w:color w:val="000000"/>
                <w:sz w:val="20"/>
              </w:rPr>
              <w:t xml:space="preserve">транспортировке и использованию </w:t>
            </w:r>
            <w:r>
              <w:br/>
            </w:r>
            <w:r>
              <w:rPr>
                <w:color w:val="000000"/>
                <w:sz w:val="20"/>
              </w:rPr>
              <w:t xml:space="preserve">иммунологических лекарственных </w:t>
            </w:r>
            <w:r>
              <w:br/>
            </w:r>
            <w:r>
              <w:rPr>
                <w:color w:val="000000"/>
                <w:sz w:val="20"/>
              </w:rPr>
              <w:t xml:space="preserve">препаратов (иммунобиологических </w:t>
            </w:r>
            <w:r>
              <w:br/>
            </w:r>
            <w:r>
              <w:rPr>
                <w:color w:val="000000"/>
                <w:sz w:val="20"/>
              </w:rPr>
              <w:t>лекарственных препаратов)"</w:t>
            </w:r>
          </w:p>
        </w:tc>
      </w:tr>
    </w:tbl>
    <w:p w:rsidR="00C908A4" w:rsidRDefault="00C908A4">
      <w:pPr>
        <w:spacing w:after="0"/>
      </w:pPr>
      <w:bookmarkStart w:id="129" w:name="z136"/>
      <w:r>
        <w:rPr>
          <w:b/>
          <w:color w:val="000000"/>
        </w:rPr>
        <w:t xml:space="preserve"> Журнал учета температурного режима холодильного оборудования, холодильных и морозильных комнат или камер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21"/>
        <w:gridCol w:w="845"/>
        <w:gridCol w:w="1089"/>
        <w:gridCol w:w="1686"/>
        <w:gridCol w:w="2349"/>
        <w:gridCol w:w="3121"/>
        <w:gridCol w:w="51"/>
      </w:tblGrid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536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Дата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Показания термометра</w:t>
            </w:r>
          </w:p>
        </w:tc>
        <w:tc>
          <w:tcPr>
            <w:tcW w:w="1834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Подпись ответственного работника</w:t>
            </w:r>
          </w:p>
        </w:tc>
        <w:tc>
          <w:tcPr>
            <w:tcW w:w="8746" w:type="dxa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Примечание (отметка об отключении электроэнергии, размораживании, неисправности холодильного оборудования)</w:t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5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Утром</w:t>
            </w:r>
          </w:p>
        </w:tc>
        <w:tc>
          <w:tcPr>
            <w:tcW w:w="5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Вечером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C908A4" w:rsidRDefault="00C908A4"/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53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874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53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874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53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9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83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8746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</w:tr>
      <w:tr w:rsidR="00C90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color w:val="000000"/>
                <w:sz w:val="20"/>
              </w:rPr>
              <w:t xml:space="preserve">требования к хранению, </w:t>
            </w:r>
            <w:r>
              <w:br/>
            </w:r>
            <w:r>
              <w:rPr>
                <w:color w:val="000000"/>
                <w:sz w:val="20"/>
              </w:rPr>
              <w:t xml:space="preserve">транспортировке и использованию </w:t>
            </w:r>
            <w:r>
              <w:br/>
            </w:r>
            <w:r>
              <w:rPr>
                <w:color w:val="000000"/>
                <w:sz w:val="20"/>
              </w:rPr>
              <w:t xml:space="preserve">иммунологических лекарственных </w:t>
            </w:r>
            <w:r>
              <w:br/>
            </w:r>
            <w:r>
              <w:rPr>
                <w:color w:val="000000"/>
                <w:sz w:val="20"/>
              </w:rPr>
              <w:t xml:space="preserve">препаратов (иммунобиологических </w:t>
            </w:r>
            <w:r>
              <w:br/>
            </w:r>
            <w:r>
              <w:rPr>
                <w:color w:val="000000"/>
                <w:sz w:val="20"/>
              </w:rPr>
              <w:t>лекарственных препаратов)"</w:t>
            </w:r>
          </w:p>
        </w:tc>
      </w:tr>
    </w:tbl>
    <w:p w:rsidR="00C908A4" w:rsidRDefault="00C908A4">
      <w:pPr>
        <w:spacing w:after="0"/>
      </w:pPr>
      <w:bookmarkStart w:id="130" w:name="z138"/>
      <w:r>
        <w:rPr>
          <w:b/>
          <w:color w:val="000000"/>
        </w:rPr>
        <w:t xml:space="preserve"> Температурные условия хранения и транспортировки иммунологических лекарственных препаратов (иммунобиологических лекарственных препаратов) 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51"/>
        <w:gridCol w:w="5077"/>
        <w:gridCol w:w="395"/>
        <w:gridCol w:w="1895"/>
        <w:gridCol w:w="1894"/>
        <w:gridCol w:w="50"/>
      </w:tblGrid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41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793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 препаратов</w:t>
            </w:r>
          </w:p>
        </w:tc>
        <w:tc>
          <w:tcPr>
            <w:tcW w:w="19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Хранение и транспортировка при температуре от плюс 20С до плюс 80С, место в холодильнике</w:t>
            </w:r>
          </w:p>
        </w:tc>
        <w:tc>
          <w:tcPr>
            <w:tcW w:w="197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Хранение и транспортировка при температуре от минус 150С до минус 250С</w:t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41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93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Вакцина против полиомиелита живая, вакцина против коронавирусной инфекции (в соответствии с инструкциями)</w:t>
            </w:r>
          </w:p>
        </w:tc>
        <w:tc>
          <w:tcPr>
            <w:tcW w:w="19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197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допускается</w:t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41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93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Вакцина против туберкулеза, коревая вакцина, паротитная вакцина, краснушная вакцина, вакцина против кори, краснухи и паротита, вакцина против кори, краснухи</w:t>
            </w:r>
          </w:p>
        </w:tc>
        <w:tc>
          <w:tcPr>
            <w:tcW w:w="19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197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417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93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Адсорбированная коклюшно-дифтерийно-столбнячная вакцина с цельноклеточным и бесклеточным коклюшным компонентом, дифтерийно-столбнячный анатоксин с уменьшенным содержанием антигенов, столбнячный анатоксин, вакцина против брюшного тифа, вакцина против гемофильной инфекции типа "В", вакцина против гепатита "А", вакцина против гепатита "В", вакцина против пневмококковой инфекции, вакцина и иммуноглобулин против клещевого энцефалита, антирабическая вакцина и иммуноглобулин, вакцина против чумы, туберкулин, противодифтерийная сыворотка, бактериофаги, комбинированные указанные вакцины</w:t>
            </w:r>
          </w:p>
        </w:tc>
        <w:tc>
          <w:tcPr>
            <w:tcW w:w="19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допускается</w:t>
            </w:r>
          </w:p>
        </w:tc>
        <w:tc>
          <w:tcPr>
            <w:tcW w:w="197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C90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color w:val="000000"/>
                <w:sz w:val="20"/>
              </w:rPr>
              <w:t xml:space="preserve">требования к хранению, </w:t>
            </w:r>
            <w:r>
              <w:br/>
            </w:r>
            <w:r>
              <w:rPr>
                <w:color w:val="000000"/>
                <w:sz w:val="20"/>
              </w:rPr>
              <w:t xml:space="preserve">транспортировке и использованию </w:t>
            </w:r>
            <w:r>
              <w:br/>
            </w:r>
            <w:r>
              <w:rPr>
                <w:color w:val="000000"/>
                <w:sz w:val="20"/>
              </w:rPr>
              <w:t xml:space="preserve">иммунологических лекарственных </w:t>
            </w:r>
            <w:r>
              <w:br/>
            </w:r>
            <w:r>
              <w:rPr>
                <w:color w:val="000000"/>
                <w:sz w:val="20"/>
              </w:rPr>
              <w:t xml:space="preserve">препаратов (иммунобиологических </w:t>
            </w:r>
            <w:r>
              <w:br/>
            </w:r>
            <w:r>
              <w:rPr>
                <w:color w:val="000000"/>
                <w:sz w:val="20"/>
              </w:rPr>
              <w:t>лекарственных препаратов)"</w:t>
            </w:r>
          </w:p>
        </w:tc>
      </w:tr>
    </w:tbl>
    <w:p w:rsidR="00C908A4" w:rsidRDefault="00C908A4">
      <w:pPr>
        <w:spacing w:after="0"/>
      </w:pPr>
      <w:bookmarkStart w:id="131" w:name="z140"/>
      <w:r>
        <w:rPr>
          <w:b/>
          <w:color w:val="000000"/>
        </w:rPr>
        <w:t xml:space="preserve">              Акт приема партии иммунологических лекарственных препаратов </w:t>
      </w:r>
      <w:r>
        <w:br/>
      </w:r>
      <w:r>
        <w:rPr>
          <w:b/>
          <w:color w:val="000000"/>
        </w:rPr>
        <w:t xml:space="preserve">                   (иммунобиологических лекарственных препаратов)</w:t>
      </w:r>
    </w:p>
    <w:p w:rsidR="00C908A4" w:rsidRDefault="00C908A4">
      <w:pPr>
        <w:spacing w:after="0"/>
        <w:jc w:val="both"/>
      </w:pPr>
      <w:bookmarkStart w:id="132" w:name="z141"/>
      <w:bookmarkEnd w:id="131"/>
      <w:r>
        <w:rPr>
          <w:color w:val="000000"/>
          <w:sz w:val="28"/>
        </w:rPr>
        <w:t xml:space="preserve">       Адресат отправления __________________________________________________ 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>Запланированные остановки в ходе транспортирования____________________________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color w:val="000000"/>
          <w:sz w:val="28"/>
        </w:rPr>
        <w:t xml:space="preserve">Дата отправки (согласно данным авиа и (или) железнодорожных накладных)_________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color w:val="000000"/>
          <w:sz w:val="28"/>
        </w:rPr>
        <w:t>Дата и время прибытия груза в пункт назначения_________________________________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color w:val="000000"/>
          <w:sz w:val="28"/>
        </w:rPr>
        <w:t>Наименование препарата _____________________________________________________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color w:val="000000"/>
          <w:sz w:val="28"/>
        </w:rPr>
        <w:t>Организация, изготовитель ____________________________________________________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color w:val="000000"/>
          <w:sz w:val="28"/>
        </w:rPr>
        <w:t>Количество упаковок или флаконов (ампул) 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color w:val="000000"/>
          <w:sz w:val="28"/>
        </w:rPr>
        <w:t>Количество доз (литров, таблеток)_____________________________________________</w:t>
      </w:r>
      <w:r>
        <w:br/>
      </w:r>
      <w:r>
        <w:rPr>
          <w:color w:val="000000"/>
          <w:sz w:val="28"/>
        </w:rPr>
        <w:t>Номер серии, контрольный номер 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</w:t>
      </w:r>
      <w:r>
        <w:br/>
      </w:r>
      <w:r>
        <w:rPr>
          <w:color w:val="000000"/>
          <w:sz w:val="28"/>
        </w:rPr>
        <w:t xml:space="preserve">Срок годности иммунологического лекарственного препарата (иммунобиологического  </w:t>
      </w:r>
      <w:r>
        <w:br/>
      </w:r>
      <w:r>
        <w:rPr>
          <w:color w:val="000000"/>
          <w:sz w:val="28"/>
        </w:rPr>
        <w:t xml:space="preserve">лекарственного препарата) __________________________________________________ </w:t>
      </w:r>
      <w:r>
        <w:br/>
      </w:r>
      <w:r>
        <w:rPr>
          <w:color w:val="000000"/>
          <w:sz w:val="28"/>
        </w:rPr>
        <w:t>Количество флаконов (ампул) растворителя____________________________________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color w:val="000000"/>
          <w:sz w:val="28"/>
        </w:rPr>
        <w:t>Номер серии, контрольный номер____________________________________________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>Срок годности растворителя________________________________________________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 xml:space="preserve">Показания термоиндикаторов (количество, показание каждого из них с указанием мест </w:t>
      </w:r>
      <w:r>
        <w:br/>
      </w:r>
      <w:r>
        <w:rPr>
          <w:color w:val="000000"/>
          <w:sz w:val="28"/>
        </w:rPr>
        <w:t>размещения)_____________________________________________________________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>Состояние груза__________________________________________________________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>Общее число контейнеров _________________________________________________</w:t>
      </w:r>
      <w:r>
        <w:br/>
      </w:r>
      <w:r>
        <w:rPr>
          <w:color w:val="000000"/>
          <w:sz w:val="28"/>
        </w:rPr>
        <w:t>Наличие маркировки ______________________________________________________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>Состояние упаковок на момент доставки_____________________________________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 xml:space="preserve">(нарушение целостности, наличие повреждения, деформации, следов влаги, стертость записей) </w:t>
      </w:r>
      <w:r>
        <w:br/>
      </w:r>
      <w:r>
        <w:rPr>
          <w:color w:val="000000"/>
          <w:sz w:val="28"/>
        </w:rPr>
        <w:t xml:space="preserve">Фамилия, имя, отчество (при его наличии), должность и подпись отправителя груза </w:t>
      </w:r>
      <w:r>
        <w:br/>
      </w:r>
      <w:r>
        <w:rPr>
          <w:color w:val="000000"/>
          <w:sz w:val="28"/>
        </w:rPr>
        <w:t xml:space="preserve">____________________________________________________ ____________________ </w:t>
      </w:r>
      <w:r>
        <w:br/>
      </w:r>
      <w:r>
        <w:rPr>
          <w:color w:val="000000"/>
          <w:sz w:val="28"/>
        </w:rPr>
        <w:t xml:space="preserve"> Фамилия, имя, отчество (при его наличии),       должность и подпись получателя груза </w:t>
      </w:r>
      <w:r>
        <w:br/>
      </w:r>
      <w:r>
        <w:rPr>
          <w:color w:val="000000"/>
          <w:sz w:val="28"/>
        </w:rPr>
        <w:t xml:space="preserve">___________________________________________ ____________________  </w:t>
      </w:r>
      <w:r>
        <w:br/>
      </w:r>
      <w:r>
        <w:rPr>
          <w:color w:val="000000"/>
          <w:sz w:val="28"/>
        </w:rPr>
        <w:t>Дата подписания акта       "____"___________ 20___ года</w:t>
      </w:r>
    </w:p>
    <w:tbl>
      <w:tblPr>
        <w:tblW w:w="0" w:type="auto"/>
        <w:tblCellSpacing w:w="0" w:type="auto"/>
        <w:tblLook w:val="00A0"/>
      </w:tblPr>
      <w:tblGrid>
        <w:gridCol w:w="5826"/>
        <w:gridCol w:w="3951"/>
      </w:tblGrid>
      <w:tr w:rsidR="00C908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</w:t>
            </w:r>
            <w:r>
              <w:br/>
            </w:r>
            <w:r>
              <w:rPr>
                <w:color w:val="000000"/>
                <w:sz w:val="20"/>
              </w:rPr>
              <w:t xml:space="preserve">требования к хранению, </w:t>
            </w:r>
            <w:r>
              <w:br/>
            </w:r>
            <w:r>
              <w:rPr>
                <w:color w:val="000000"/>
                <w:sz w:val="20"/>
              </w:rPr>
              <w:t xml:space="preserve">транспортировке и использованию </w:t>
            </w:r>
            <w:r>
              <w:br/>
            </w:r>
            <w:r>
              <w:rPr>
                <w:color w:val="000000"/>
                <w:sz w:val="20"/>
              </w:rPr>
              <w:t xml:space="preserve">иммунологических лекарственных </w:t>
            </w:r>
            <w:r>
              <w:br/>
            </w:r>
            <w:r>
              <w:rPr>
                <w:color w:val="000000"/>
                <w:sz w:val="20"/>
              </w:rPr>
              <w:t xml:space="preserve">препаратов (иммунобиологических </w:t>
            </w:r>
            <w:r>
              <w:br/>
            </w:r>
            <w:r>
              <w:rPr>
                <w:color w:val="000000"/>
                <w:sz w:val="20"/>
              </w:rPr>
              <w:t>лекарственных препаратов)"</w:t>
            </w:r>
          </w:p>
        </w:tc>
      </w:tr>
    </w:tbl>
    <w:p w:rsidR="00C908A4" w:rsidRDefault="00C908A4">
      <w:pPr>
        <w:spacing w:after="0"/>
      </w:pPr>
      <w:bookmarkStart w:id="133" w:name="z143"/>
      <w:r>
        <w:rPr>
          <w:b/>
          <w:color w:val="000000"/>
        </w:rPr>
        <w:t xml:space="preserve"> Журнал учета иммунологических лекарственных препаратов (иммунобиологических лекарственных препаратов)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288"/>
        <w:gridCol w:w="1299"/>
        <w:gridCol w:w="1115"/>
        <w:gridCol w:w="943"/>
        <w:gridCol w:w="923"/>
        <w:gridCol w:w="1087"/>
        <w:gridCol w:w="1624"/>
        <w:gridCol w:w="1542"/>
        <w:gridCol w:w="841"/>
      </w:tblGrid>
      <w:tr w:rsidR="00C908A4">
        <w:trPr>
          <w:trHeight w:val="30"/>
          <w:tblCellSpacing w:w="0" w:type="auto"/>
        </w:trPr>
        <w:tc>
          <w:tcPr>
            <w:tcW w:w="62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№ </w:t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препарата</w:t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Откуда поступило</w:t>
            </w:r>
          </w:p>
        </w:tc>
        <w:tc>
          <w:tcPr>
            <w:tcW w:w="15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Страна произ-водитель</w:t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Полученное количество</w:t>
            </w:r>
          </w:p>
        </w:tc>
        <w:tc>
          <w:tcPr>
            <w:tcW w:w="1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Показания термоиндикаторов</w:t>
            </w:r>
          </w:p>
        </w:tc>
        <w:tc>
          <w:tcPr>
            <w:tcW w:w="40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доз в ампуле (флаконе), упаковок</w:t>
            </w:r>
          </w:p>
        </w:tc>
        <w:tc>
          <w:tcPr>
            <w:tcW w:w="10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годности</w:t>
            </w:r>
          </w:p>
        </w:tc>
      </w:tr>
      <w:tr w:rsidR="00C908A4">
        <w:trPr>
          <w:trHeight w:val="30"/>
          <w:tblCellSpacing w:w="0" w:type="auto"/>
        </w:trPr>
        <w:tc>
          <w:tcPr>
            <w:tcW w:w="62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5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01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01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402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0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</w:tr>
    </w:tbl>
    <w:p w:rsidR="00C908A4" w:rsidRDefault="00C908A4">
      <w:pPr>
        <w:spacing w:after="0"/>
        <w:jc w:val="both"/>
      </w:pPr>
      <w:bookmarkStart w:id="134" w:name="z144"/>
      <w:r>
        <w:rPr>
          <w:color w:val="000000"/>
          <w:sz w:val="28"/>
        </w:rPr>
        <w:t>      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1277"/>
        <w:gridCol w:w="1455"/>
        <w:gridCol w:w="679"/>
        <w:gridCol w:w="816"/>
        <w:gridCol w:w="994"/>
        <w:gridCol w:w="566"/>
        <w:gridCol w:w="641"/>
        <w:gridCol w:w="608"/>
        <w:gridCol w:w="321"/>
        <w:gridCol w:w="2275"/>
        <w:gridCol w:w="30"/>
      </w:tblGrid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1600" w:type="dxa"/>
            <w:vMerge w:val="restart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4"/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серии, контрольный номер</w:t>
            </w:r>
          </w:p>
        </w:tc>
        <w:tc>
          <w:tcPr>
            <w:tcW w:w="74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74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выдано</w:t>
            </w:r>
          </w:p>
        </w:tc>
        <w:tc>
          <w:tcPr>
            <w:tcW w:w="112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bookmarkStart w:id="135" w:name="z145"/>
            <w:r>
              <w:rPr>
                <w:color w:val="000000"/>
                <w:sz w:val="20"/>
              </w:rPr>
              <w:t>Дата выдачи,</w:t>
            </w:r>
            <w:r>
              <w:br/>
            </w:r>
            <w:r>
              <w:rPr>
                <w:color w:val="000000"/>
                <w:sz w:val="20"/>
              </w:rPr>
              <w:t>№ наклад-ной</w:t>
            </w:r>
          </w:p>
        </w:tc>
        <w:bookmarkEnd w:id="135"/>
        <w:tc>
          <w:tcPr>
            <w:tcW w:w="742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Выданное количество</w:t>
            </w:r>
          </w:p>
        </w:tc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Баланс</w:t>
            </w:r>
          </w:p>
        </w:tc>
        <w:tc>
          <w:tcPr>
            <w:tcW w:w="5223" w:type="dxa"/>
            <w:gridSpan w:val="2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Статус (возвращен, бракован, отозван, изъят, приостановлен, с истекшим сроком годности)</w:t>
            </w:r>
          </w:p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0" w:type="auto"/>
            <w:vMerge/>
            <w:tcBorders>
              <w:top w:val="nil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C908A4" w:rsidRDefault="00C908A4"/>
        </w:tc>
        <w:tc>
          <w:tcPr>
            <w:tcW w:w="8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При-ход</w:t>
            </w:r>
          </w:p>
        </w:tc>
        <w:tc>
          <w:tcPr>
            <w:tcW w:w="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Расход</w:t>
            </w:r>
          </w:p>
        </w:tc>
        <w:tc>
          <w:tcPr>
            <w:tcW w:w="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Оста-ток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CFCFCF"/>
              <w:bottom w:val="single" w:sz="4" w:space="0" w:color="CFCFCF"/>
            </w:tcBorders>
          </w:tcPr>
          <w:p w:rsidR="00C908A4" w:rsidRDefault="00C908A4"/>
        </w:tc>
      </w:tr>
      <w:tr w:rsidR="00C908A4">
        <w:trPr>
          <w:gridAfter w:val="1"/>
          <w:wAfter w:w="80" w:type="dxa"/>
          <w:trHeight w:val="30"/>
          <w:tblCellSpacing w:w="0" w:type="auto"/>
        </w:trPr>
        <w:tc>
          <w:tcPr>
            <w:tcW w:w="160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11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7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8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  <w:tc>
          <w:tcPr>
            <w:tcW w:w="5223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both"/>
            </w:pPr>
            <w:r>
              <w:br/>
            </w:r>
          </w:p>
        </w:tc>
      </w:tr>
      <w:tr w:rsidR="00C90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08A4" w:rsidRDefault="00C908A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июля 2021 года</w:t>
            </w:r>
            <w:r>
              <w:br/>
            </w:r>
            <w:r>
              <w:rPr>
                <w:color w:val="000000"/>
                <w:sz w:val="20"/>
              </w:rPr>
              <w:t>№ ҚР ДСМ-62</w:t>
            </w:r>
          </w:p>
        </w:tc>
      </w:tr>
    </w:tbl>
    <w:p w:rsidR="00C908A4" w:rsidRDefault="00C908A4">
      <w:pPr>
        <w:spacing w:after="0"/>
      </w:pPr>
      <w:bookmarkStart w:id="136" w:name="z147"/>
      <w:r>
        <w:rPr>
          <w:b/>
          <w:color w:val="000000"/>
        </w:rPr>
        <w:t xml:space="preserve"> Перечень некоторых приказов Министерства здравоохранения Республики Казахстан и Министерства национальной экономики Республики Казахстан, признанных утратившими силу</w:t>
      </w:r>
    </w:p>
    <w:p w:rsidR="00C908A4" w:rsidRDefault="00C908A4">
      <w:pPr>
        <w:spacing w:after="0"/>
        <w:jc w:val="both"/>
      </w:pPr>
      <w:bookmarkStart w:id="137" w:name="z148"/>
      <w:bookmarkEnd w:id="136"/>
      <w:r>
        <w:rPr>
          <w:color w:val="000000"/>
          <w:sz w:val="28"/>
        </w:rPr>
        <w:t xml:space="preserve">       1. Приказ Министра национальной экономики Республики Казахстан от 4 февраля 2015 года № 76 "Об утверждении Правил хранения, транспортировки и использования профилактических (иммунобиологических, диагностических, дезинфицирующих) препаратов" (зарегистрирован в Реестре государственной регистрации нормативных правовых актов под № 10411).</w:t>
      </w:r>
    </w:p>
    <w:p w:rsidR="00C908A4" w:rsidRDefault="00C908A4">
      <w:pPr>
        <w:spacing w:after="0"/>
        <w:jc w:val="both"/>
      </w:pPr>
      <w:bookmarkStart w:id="138" w:name="z149"/>
      <w:bookmarkEnd w:id="137"/>
      <w:r>
        <w:rPr>
          <w:color w:val="000000"/>
          <w:sz w:val="28"/>
        </w:rPr>
        <w:t xml:space="preserve">       2. Пункт 18 Перечня приказов Министерства национальной экономики Республики Казахстан, в которые вносятся изменения и дополнение, утвержденного приказом Министра национальной экономики Республики Казахстан от 15 сентября 2015 года № 637 "О внесении изменений и дополнения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под № 12158).</w:t>
      </w:r>
    </w:p>
    <w:p w:rsidR="00C908A4" w:rsidRDefault="00C908A4">
      <w:pPr>
        <w:spacing w:after="0"/>
        <w:jc w:val="both"/>
      </w:pPr>
      <w:bookmarkStart w:id="139" w:name="z150"/>
      <w:bookmarkEnd w:id="138"/>
      <w:r>
        <w:rPr>
          <w:color w:val="000000"/>
          <w:sz w:val="28"/>
        </w:rPr>
        <w:t xml:space="preserve">       3. Пункт 1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bookmarkEnd w:id="139"/>
    <w:p w:rsidR="00C908A4" w:rsidRDefault="00C908A4">
      <w:pPr>
        <w:spacing w:after="0"/>
      </w:pPr>
      <w:r>
        <w:br/>
      </w:r>
      <w:r>
        <w:br/>
      </w:r>
    </w:p>
    <w:p w:rsidR="00C908A4" w:rsidRDefault="00C908A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C908A4" w:rsidSect="00D30DD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DD4"/>
    <w:rsid w:val="001E4D74"/>
    <w:rsid w:val="00BB4681"/>
    <w:rsid w:val="00C908A4"/>
    <w:rsid w:val="00D30DD4"/>
    <w:rsid w:val="00E5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D30DD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D30DD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D30DD4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D30DD4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16</Pages>
  <Words>4845</Words>
  <Characters>27623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2021-11-03T11:41:00Z</dcterms:created>
  <dcterms:modified xsi:type="dcterms:W3CDTF">2021-11-03T11:41:00Z</dcterms:modified>
</cp:coreProperties>
</file>