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2684" w14:textId="73AFD0BC" w:rsidR="00DB422F" w:rsidRPr="006F5E0A" w:rsidRDefault="00DB422F" w:rsidP="006F5E0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Глоссарий терминов</w:t>
      </w:r>
    </w:p>
    <w:p w14:paraId="3AE7B1C9" w14:textId="77777777" w:rsidR="00136FDD" w:rsidRPr="006F5E0A" w:rsidRDefault="00136FDD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7F66DC" w14:textId="4FCE21F3" w:rsidR="00DB422F" w:rsidRPr="006F5E0A" w:rsidRDefault="00DB422F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Место конечного пользователя:</w:t>
      </w:r>
      <w:r w:rsidRPr="006F5E0A">
        <w:rPr>
          <w:rFonts w:ascii="Times New Roman" w:hAnsi="Times New Roman" w:cs="Times New Roman"/>
          <w:sz w:val="24"/>
          <w:szCs w:val="24"/>
        </w:rPr>
        <w:t xml:space="preserve"> место в пределах одного и того же географического района ПСМП, где происходит введение вакцины, например дом престарелых и т. д.</w:t>
      </w:r>
    </w:p>
    <w:p w14:paraId="3C45EE78" w14:textId="50145400" w:rsidR="00DB422F" w:rsidRPr="006F5E0A" w:rsidRDefault="00DB422F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ПМСП:</w:t>
      </w:r>
      <w:r w:rsidRPr="006F5E0A">
        <w:rPr>
          <w:rFonts w:ascii="Times New Roman" w:hAnsi="Times New Roman" w:cs="Times New Roman"/>
          <w:sz w:val="24"/>
          <w:szCs w:val="24"/>
        </w:rPr>
        <w:t xml:space="preserve"> Первичная Медико-Санитарная Помощь.</w:t>
      </w:r>
    </w:p>
    <w:p w14:paraId="36E753F3" w14:textId="3C6A57EA" w:rsidR="00DB422F" w:rsidRPr="006F5E0A" w:rsidRDefault="00DB422F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Ведущий терапевт</w:t>
      </w:r>
      <w:r w:rsidR="009C27A8"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 ПМСП</w:t>
      </w:r>
      <w:r w:rsidRPr="006F5E0A">
        <w:rPr>
          <w:rFonts w:ascii="Times New Roman" w:hAnsi="Times New Roman" w:cs="Times New Roman"/>
          <w:sz w:val="24"/>
          <w:szCs w:val="24"/>
        </w:rPr>
        <w:t xml:space="preserve">: ведущий врач специализированного участка </w:t>
      </w:r>
      <w:r w:rsidR="00C22674" w:rsidRPr="006F5E0A">
        <w:rPr>
          <w:rFonts w:ascii="Times New Roman" w:hAnsi="Times New Roman" w:cs="Times New Roman"/>
          <w:sz w:val="24"/>
          <w:szCs w:val="24"/>
        </w:rPr>
        <w:t>ПМСП</w:t>
      </w:r>
      <w:r w:rsidRPr="006F5E0A">
        <w:rPr>
          <w:rFonts w:ascii="Times New Roman" w:hAnsi="Times New Roman" w:cs="Times New Roman"/>
          <w:sz w:val="24"/>
          <w:szCs w:val="24"/>
        </w:rPr>
        <w:t>, ответственный за безопасное и надежное обращение с лекарствами и управление ими в пределах участка.</w:t>
      </w:r>
    </w:p>
    <w:p w14:paraId="0FD768EE" w14:textId="435207CE" w:rsidR="00C22674" w:rsidRPr="006F5E0A" w:rsidRDefault="00C22674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Назначенное ответственное лицо</w:t>
      </w:r>
      <w:r w:rsidRPr="006F5E0A">
        <w:rPr>
          <w:rFonts w:ascii="Times New Roman" w:hAnsi="Times New Roman" w:cs="Times New Roman"/>
          <w:sz w:val="24"/>
          <w:szCs w:val="24"/>
        </w:rPr>
        <w:t>: назначенный и прошедший соответствующую подготовку член группы на каждом участке вакцинации, которому главный/ведущий терапевт при содействии главного фармацевта ПСМП уровня, делегировал оперативную ответственность за надзор за приказом, получением, хранением и безопасным обращением с вакцинами и лекарствами.</w:t>
      </w:r>
    </w:p>
    <w:p w14:paraId="3D024938" w14:textId="259BEFEA" w:rsidR="00C22674" w:rsidRPr="006F5E0A" w:rsidRDefault="005C538B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22674" w:rsidRPr="006F5E0A">
        <w:rPr>
          <w:rFonts w:ascii="Times New Roman" w:hAnsi="Times New Roman" w:cs="Times New Roman"/>
          <w:b/>
          <w:bCs/>
          <w:sz w:val="24"/>
          <w:szCs w:val="24"/>
        </w:rPr>
        <w:t>часток ПМСП</w:t>
      </w:r>
      <w:r w:rsidR="00C22674" w:rsidRPr="006F5E0A">
        <w:rPr>
          <w:rFonts w:ascii="Times New Roman" w:hAnsi="Times New Roman" w:cs="Times New Roman"/>
          <w:sz w:val="24"/>
          <w:szCs w:val="24"/>
        </w:rPr>
        <w:t>: утвержденный местный участок вакцинации, который отвечает основным требованиям для вакцинации COVID-19 в соответствии со Спецификацией расширенных услуг.</w:t>
      </w:r>
    </w:p>
    <w:p w14:paraId="6760A99E" w14:textId="51866EF9" w:rsidR="00136FDD" w:rsidRPr="006F5E0A" w:rsidRDefault="00136FDD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Ведущий фармацевт ПМСП</w:t>
      </w:r>
      <w:r w:rsidRPr="006F5E0A">
        <w:rPr>
          <w:rFonts w:ascii="Times New Roman" w:hAnsi="Times New Roman" w:cs="Times New Roman"/>
          <w:sz w:val="24"/>
          <w:szCs w:val="24"/>
        </w:rPr>
        <w:t>: ведущий фармацевт для уровня первичной медико-санитарной помощи по согласованию с региональным/национальным главным фармацевтом отвечает за поддержку ведущего терапевта в выполнении требований управления.</w:t>
      </w:r>
    </w:p>
    <w:p w14:paraId="2D5C15A8" w14:textId="69AED860" w:rsidR="00136FDD" w:rsidRPr="006F5E0A" w:rsidRDefault="00136FDD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Обученные сотрудники</w:t>
      </w:r>
      <w:r w:rsidRPr="006F5E0A">
        <w:rPr>
          <w:rFonts w:ascii="Times New Roman" w:hAnsi="Times New Roman" w:cs="Times New Roman"/>
          <w:sz w:val="24"/>
          <w:szCs w:val="24"/>
        </w:rPr>
        <w:t>: сотрудники, которые прошли необходимое национальное обучение и были оценены как компетентные для выполнения задачи.</w:t>
      </w:r>
    </w:p>
    <w:p w14:paraId="4C541ACD" w14:textId="77777777" w:rsidR="00DB422F" w:rsidRPr="006F5E0A" w:rsidRDefault="00DB422F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40D1E8" w14:textId="584D9446" w:rsidR="00443BEB" w:rsidRPr="006F5E0A" w:rsidRDefault="006A313C" w:rsidP="006F5E0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39A0EE3A" w14:textId="34668250" w:rsidR="00841E46" w:rsidRPr="006F5E0A" w:rsidRDefault="00443BEB" w:rsidP="006F5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Данн</w:t>
      </w:r>
      <w:r w:rsidR="003E34F8" w:rsidRPr="006F5E0A">
        <w:rPr>
          <w:rFonts w:ascii="Times New Roman" w:hAnsi="Times New Roman" w:cs="Times New Roman"/>
          <w:sz w:val="24"/>
          <w:szCs w:val="24"/>
        </w:rPr>
        <w:t>ый</w:t>
      </w:r>
      <w:r w:rsidRPr="006F5E0A">
        <w:rPr>
          <w:rFonts w:ascii="Times New Roman" w:hAnsi="Times New Roman" w:cs="Times New Roman"/>
          <w:sz w:val="24"/>
          <w:szCs w:val="24"/>
        </w:rPr>
        <w:t xml:space="preserve"> СОП описывает процесс получения и немедленного </w:t>
      </w:r>
      <w:r w:rsidR="00291981" w:rsidRPr="006F5E0A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Pr="006F5E0A">
        <w:rPr>
          <w:rFonts w:ascii="Times New Roman" w:hAnsi="Times New Roman" w:cs="Times New Roman"/>
          <w:sz w:val="24"/>
          <w:szCs w:val="24"/>
        </w:rPr>
        <w:t xml:space="preserve">вакцины </w:t>
      </w:r>
      <w:proofErr w:type="spellStart"/>
      <w:r w:rsidRPr="006F5E0A">
        <w:rPr>
          <w:rFonts w:ascii="Times New Roman" w:hAnsi="Times New Roman" w:cs="Times New Roman"/>
          <w:sz w:val="24"/>
          <w:szCs w:val="24"/>
        </w:rPr>
        <w:t>Pfizer-BioNTech</w:t>
      </w:r>
      <w:proofErr w:type="spellEnd"/>
      <w:r w:rsidRPr="006F5E0A">
        <w:rPr>
          <w:rFonts w:ascii="Times New Roman" w:hAnsi="Times New Roman" w:cs="Times New Roman"/>
          <w:sz w:val="24"/>
          <w:szCs w:val="24"/>
        </w:rPr>
        <w:t xml:space="preserve"> COVID-19 (</w:t>
      </w:r>
      <w:proofErr w:type="spellStart"/>
      <w:r w:rsidR="00500684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6F5E0A">
        <w:rPr>
          <w:rFonts w:ascii="Times New Roman" w:hAnsi="Times New Roman" w:cs="Times New Roman"/>
          <w:sz w:val="24"/>
          <w:szCs w:val="24"/>
        </w:rPr>
        <w:t>)</w:t>
      </w:r>
      <w:r w:rsidR="00291981" w:rsidRPr="006F5E0A">
        <w:rPr>
          <w:rFonts w:ascii="Times New Roman" w:hAnsi="Times New Roman" w:cs="Times New Roman"/>
          <w:sz w:val="24"/>
          <w:szCs w:val="24"/>
        </w:rPr>
        <w:t xml:space="preserve"> в надлежащие условия хранения</w:t>
      </w:r>
      <w:r w:rsidRPr="006F5E0A">
        <w:rPr>
          <w:rFonts w:ascii="Times New Roman" w:hAnsi="Times New Roman" w:cs="Times New Roman"/>
          <w:sz w:val="24"/>
          <w:szCs w:val="24"/>
        </w:rPr>
        <w:t>.</w:t>
      </w:r>
    </w:p>
    <w:p w14:paraId="553A97E4" w14:textId="2C16EFCD" w:rsidR="00841E46" w:rsidRPr="006F5E0A" w:rsidRDefault="005A7DCA" w:rsidP="006F5E0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14:paraId="48756845" w14:textId="1F2FC610" w:rsidR="003E34F8" w:rsidRPr="006F5E0A" w:rsidRDefault="003E34F8" w:rsidP="006F5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Соответствующим образом обученные сотрудники несут ответственность за получение вакцин на территории, определенной для уровня ПМСП, их распаковку и проверку, а также за размещение в холодильнике с необходимым температурным режимом сразу после доставки.</w:t>
      </w:r>
    </w:p>
    <w:p w14:paraId="4DDAF76F" w14:textId="1AFA257C" w:rsidR="00841E46" w:rsidRPr="006F5E0A" w:rsidRDefault="00C57870" w:rsidP="006F5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Назначенное ответственное лицо несёт ответственность за получение вакцин и обеспечение надлежащей проверки сопровождающих документов (</w:t>
      </w:r>
      <w:r w:rsidRPr="006F5E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перечень документов регламентируется законодательством</w:t>
      </w:r>
      <w:r w:rsidR="00F24C38" w:rsidRPr="006F5E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-можно пе</w:t>
      </w:r>
      <w:r w:rsidR="005A56DC" w:rsidRPr="006F5E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речислить</w:t>
      </w:r>
      <w:r w:rsidRPr="006F5E0A">
        <w:rPr>
          <w:rFonts w:ascii="Times New Roman" w:hAnsi="Times New Roman" w:cs="Times New Roman"/>
          <w:sz w:val="24"/>
          <w:szCs w:val="24"/>
        </w:rPr>
        <w:t>).</w:t>
      </w:r>
    </w:p>
    <w:p w14:paraId="5C8B68C6" w14:textId="2B7844AC" w:rsidR="004B65ED" w:rsidRPr="006F5E0A" w:rsidRDefault="004B65ED" w:rsidP="006F5E0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Процедура</w:t>
      </w:r>
    </w:p>
    <w:p w14:paraId="3FEF4530" w14:textId="77777777" w:rsidR="005C0307" w:rsidRPr="006F5E0A" w:rsidRDefault="005C0307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C6D1D" w14:textId="762EE10B" w:rsidR="005C0307" w:rsidRPr="006F5E0A" w:rsidRDefault="005C0307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Вакцина </w:t>
      </w:r>
      <w:proofErr w:type="spellStart"/>
      <w:r w:rsidRPr="006F5E0A">
        <w:rPr>
          <w:rFonts w:ascii="Times New Roman" w:hAnsi="Times New Roman" w:cs="Times New Roman"/>
          <w:b/>
          <w:bCs/>
          <w:sz w:val="24"/>
          <w:szCs w:val="24"/>
        </w:rPr>
        <w:t>Pfizer-BioNTech</w:t>
      </w:r>
      <w:proofErr w:type="spellEnd"/>
      <w:r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 COVID-19 (</w:t>
      </w:r>
      <w:proofErr w:type="spellStart"/>
      <w:r w:rsidR="006F5E0A" w:rsidRPr="006F5E0A">
        <w:rPr>
          <w:rFonts w:ascii="Times New Roman" w:hAnsi="Times New Roman" w:cs="Times New Roman"/>
          <w:b/>
          <w:bCs/>
          <w:sz w:val="24"/>
          <w:szCs w:val="24"/>
        </w:rPr>
        <w:t>Комирнати</w:t>
      </w:r>
      <w:proofErr w:type="spellEnd"/>
      <w:r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) будет доставлена </w:t>
      </w:r>
      <w:r w:rsidR="005C538B"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на уровень ПМСП </w:t>
      </w:r>
      <w:r w:rsidRPr="006F5E0A">
        <w:rPr>
          <w:rFonts w:ascii="Times New Roman" w:hAnsi="Times New Roman" w:cs="Times New Roman"/>
          <w:b/>
          <w:bCs/>
          <w:sz w:val="24"/>
          <w:szCs w:val="24"/>
        </w:rPr>
        <w:t>размороженной* (* в данном случае размороженная вакцина означает переход на температурный режим +2-8°C).</w:t>
      </w:r>
    </w:p>
    <w:p w14:paraId="7CD5A718" w14:textId="77777777" w:rsidR="005C0307" w:rsidRPr="006F5E0A" w:rsidRDefault="005C0307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D9055" w14:textId="24A61E26" w:rsidR="005C0307" w:rsidRPr="006F5E0A" w:rsidRDefault="005C0307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Флаконы с вакциной против COVID-19 (Comirnaty) Pfizer-BioNTech должны всегда оставаться в вертикальном положении.</w:t>
      </w:r>
    </w:p>
    <w:p w14:paraId="633119D2" w14:textId="77777777" w:rsidR="00841E46" w:rsidRPr="006F5E0A" w:rsidRDefault="00841E46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D7D84" w14:textId="50885B42" w:rsidR="00841E46" w:rsidRPr="006F5E0A" w:rsidRDefault="004B65ED" w:rsidP="006F5E0A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C0307" w:rsidRPr="006F5E0A">
        <w:rPr>
          <w:rFonts w:ascii="Times New Roman" w:hAnsi="Times New Roman" w:cs="Times New Roman"/>
          <w:b/>
          <w:bCs/>
          <w:sz w:val="24"/>
          <w:szCs w:val="24"/>
        </w:rPr>
        <w:t>риём вакцины</w:t>
      </w:r>
    </w:p>
    <w:p w14:paraId="7CD8D409" w14:textId="722D4E12" w:rsidR="00841E46" w:rsidRPr="006F5E0A" w:rsidRDefault="005C0307" w:rsidP="006F5E0A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Весь персонал, работающий на уровне П</w:t>
      </w:r>
      <w:r w:rsidR="00500684">
        <w:rPr>
          <w:rFonts w:ascii="Times New Roman" w:hAnsi="Times New Roman" w:cs="Times New Roman"/>
          <w:sz w:val="24"/>
          <w:szCs w:val="24"/>
        </w:rPr>
        <w:t>МС</w:t>
      </w:r>
      <w:bookmarkStart w:id="0" w:name="_GoBack"/>
      <w:bookmarkEnd w:id="0"/>
      <w:r w:rsidRPr="006F5E0A">
        <w:rPr>
          <w:rFonts w:ascii="Times New Roman" w:hAnsi="Times New Roman" w:cs="Times New Roman"/>
          <w:sz w:val="24"/>
          <w:szCs w:val="24"/>
        </w:rPr>
        <w:t xml:space="preserve">П, должен осознавать важность и срочность поддержания холодовой цепи. Получение вакцины осуществляется не группой, а непосредственно назначенными для этого обученными сотрудниками уровня ПСМП. Все </w:t>
      </w:r>
      <w:r w:rsidR="00E355C8" w:rsidRPr="006F5E0A">
        <w:rPr>
          <w:rFonts w:ascii="Times New Roman" w:hAnsi="Times New Roman" w:cs="Times New Roman"/>
          <w:sz w:val="24"/>
          <w:szCs w:val="24"/>
        </w:rPr>
        <w:t xml:space="preserve">обученные </w:t>
      </w:r>
      <w:r w:rsidRPr="006F5E0A">
        <w:rPr>
          <w:rFonts w:ascii="Times New Roman" w:hAnsi="Times New Roman" w:cs="Times New Roman"/>
          <w:sz w:val="24"/>
          <w:szCs w:val="24"/>
        </w:rPr>
        <w:t xml:space="preserve">сотрудники должны </w:t>
      </w:r>
      <w:r w:rsidR="00E355C8" w:rsidRPr="006F5E0A">
        <w:rPr>
          <w:rFonts w:ascii="Times New Roman" w:hAnsi="Times New Roman" w:cs="Times New Roman"/>
          <w:sz w:val="24"/>
          <w:szCs w:val="24"/>
        </w:rPr>
        <w:t>быть ознакомлены с</w:t>
      </w:r>
      <w:r w:rsidRPr="006F5E0A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E355C8" w:rsidRPr="006F5E0A">
        <w:rPr>
          <w:rFonts w:ascii="Times New Roman" w:hAnsi="Times New Roman" w:cs="Times New Roman"/>
          <w:sz w:val="24"/>
          <w:szCs w:val="24"/>
        </w:rPr>
        <w:t>ой</w:t>
      </w:r>
      <w:r w:rsidRPr="006F5E0A">
        <w:rPr>
          <w:rFonts w:ascii="Times New Roman" w:hAnsi="Times New Roman" w:cs="Times New Roman"/>
          <w:sz w:val="24"/>
          <w:szCs w:val="24"/>
        </w:rPr>
        <w:t xml:space="preserve"> холодовой цепи, принят</w:t>
      </w:r>
      <w:r w:rsidR="00F416D2" w:rsidRPr="006F5E0A">
        <w:rPr>
          <w:rFonts w:ascii="Times New Roman" w:hAnsi="Times New Roman" w:cs="Times New Roman"/>
          <w:sz w:val="24"/>
          <w:szCs w:val="24"/>
        </w:rPr>
        <w:t>ой</w:t>
      </w:r>
      <w:r w:rsidRPr="006F5E0A">
        <w:rPr>
          <w:rFonts w:ascii="Times New Roman" w:hAnsi="Times New Roman" w:cs="Times New Roman"/>
          <w:sz w:val="24"/>
          <w:szCs w:val="24"/>
        </w:rPr>
        <w:t xml:space="preserve"> на </w:t>
      </w:r>
      <w:r w:rsidR="00E355C8" w:rsidRPr="006F5E0A">
        <w:rPr>
          <w:rFonts w:ascii="Times New Roman" w:hAnsi="Times New Roman" w:cs="Times New Roman"/>
          <w:sz w:val="24"/>
          <w:szCs w:val="24"/>
        </w:rPr>
        <w:t>национальном уровне</w:t>
      </w:r>
      <w:r w:rsidRPr="006F5E0A">
        <w:rPr>
          <w:rFonts w:ascii="Times New Roman" w:hAnsi="Times New Roman" w:cs="Times New Roman"/>
          <w:sz w:val="24"/>
          <w:szCs w:val="24"/>
        </w:rPr>
        <w:t xml:space="preserve"> и строго е</w:t>
      </w:r>
      <w:r w:rsidR="00F416D2" w:rsidRPr="006F5E0A">
        <w:rPr>
          <w:rFonts w:ascii="Times New Roman" w:hAnsi="Times New Roman" w:cs="Times New Roman"/>
          <w:sz w:val="24"/>
          <w:szCs w:val="24"/>
        </w:rPr>
        <w:t>ё</w:t>
      </w:r>
      <w:r w:rsidRPr="006F5E0A">
        <w:rPr>
          <w:rFonts w:ascii="Times New Roman" w:hAnsi="Times New Roman" w:cs="Times New Roman"/>
          <w:sz w:val="24"/>
          <w:szCs w:val="24"/>
        </w:rPr>
        <w:t xml:space="preserve"> придерживаться.</w:t>
      </w:r>
    </w:p>
    <w:p w14:paraId="7AF942CA" w14:textId="649CB27D" w:rsidR="00841E46" w:rsidRPr="006F5E0A" w:rsidRDefault="00E355C8" w:rsidP="006F5E0A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Только назначенный старший медицинский работник, прошедший соответствующую подготовку, может производить приёмку вакцины. Поддержание холодовой цепи имеет первостепенное значение, поэтому персонал обязан организовать процесс приёмки немедленно и быстро. Если водитель указывает на какие-либо опасения по поводу возможного сбоя холодовой цепи, следует немедленно сообщить об этом назначенному ответственному лицу и выполнить действия, указанные в 4.1.4. Если таких опасений не возникает, немедленно перенесите вакцину в холодильник с температурным режимом +2-8°C, как указано в п. 4.2. Обязательство </w:t>
      </w:r>
      <w:r w:rsidR="0058649A" w:rsidRPr="006F5E0A">
        <w:rPr>
          <w:rFonts w:ascii="Times New Roman" w:hAnsi="Times New Roman" w:cs="Times New Roman"/>
          <w:sz w:val="24"/>
          <w:szCs w:val="24"/>
        </w:rPr>
        <w:t>центрального склада</w:t>
      </w:r>
      <w:r w:rsidR="00F416D2"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Pr="006F5E0A">
        <w:rPr>
          <w:rFonts w:ascii="Times New Roman" w:hAnsi="Times New Roman" w:cs="Times New Roman"/>
          <w:sz w:val="24"/>
          <w:szCs w:val="24"/>
        </w:rPr>
        <w:t xml:space="preserve">состоит в том, чтобы </w:t>
      </w:r>
      <w:r w:rsidR="0008630E" w:rsidRPr="006F5E0A">
        <w:rPr>
          <w:rFonts w:ascii="Times New Roman" w:hAnsi="Times New Roman" w:cs="Times New Roman"/>
          <w:sz w:val="24"/>
          <w:szCs w:val="24"/>
        </w:rPr>
        <w:t>информировать получателя</w:t>
      </w:r>
      <w:r w:rsidRPr="006F5E0A">
        <w:rPr>
          <w:rFonts w:ascii="Times New Roman" w:hAnsi="Times New Roman" w:cs="Times New Roman"/>
          <w:sz w:val="24"/>
          <w:szCs w:val="24"/>
        </w:rPr>
        <w:t xml:space="preserve">, </w:t>
      </w:r>
      <w:r w:rsidR="000B4033" w:rsidRPr="006F5E0A">
        <w:rPr>
          <w:rFonts w:ascii="Times New Roman" w:hAnsi="Times New Roman" w:cs="Times New Roman"/>
          <w:sz w:val="24"/>
          <w:szCs w:val="24"/>
        </w:rPr>
        <w:t>заранее о предполагаемом времени доставки</w:t>
      </w:r>
      <w:r w:rsidRPr="006F5E0A">
        <w:rPr>
          <w:rFonts w:ascii="Times New Roman" w:hAnsi="Times New Roman" w:cs="Times New Roman"/>
          <w:sz w:val="24"/>
          <w:szCs w:val="24"/>
        </w:rPr>
        <w:t xml:space="preserve">. Если </w:t>
      </w:r>
      <w:r w:rsidR="00F416D2" w:rsidRPr="006F5E0A">
        <w:rPr>
          <w:rFonts w:ascii="Times New Roman" w:hAnsi="Times New Roman" w:cs="Times New Roman"/>
          <w:sz w:val="24"/>
          <w:szCs w:val="24"/>
        </w:rPr>
        <w:t>получатель не был информирован заранее, в таком случае необходимо</w:t>
      </w:r>
      <w:r w:rsidRPr="006F5E0A">
        <w:rPr>
          <w:rFonts w:ascii="Times New Roman" w:hAnsi="Times New Roman" w:cs="Times New Roman"/>
          <w:sz w:val="24"/>
          <w:szCs w:val="24"/>
        </w:rPr>
        <w:t xml:space="preserve"> исходить из того, что у них есть 6 часов </w:t>
      </w:r>
      <w:r w:rsidR="00F416D2" w:rsidRPr="006F5E0A">
        <w:rPr>
          <w:rFonts w:ascii="Times New Roman" w:hAnsi="Times New Roman" w:cs="Times New Roman"/>
          <w:sz w:val="24"/>
          <w:szCs w:val="24"/>
        </w:rPr>
        <w:t>для подготовки к приёму вакцины (определить место в холодильнике</w:t>
      </w:r>
      <w:r w:rsidR="0008630E" w:rsidRPr="006F5E0A">
        <w:rPr>
          <w:rFonts w:ascii="Times New Roman" w:hAnsi="Times New Roman" w:cs="Times New Roman"/>
          <w:sz w:val="24"/>
          <w:szCs w:val="24"/>
        </w:rPr>
        <w:t>;</w:t>
      </w:r>
      <w:r w:rsidR="00F416D2"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="0008630E" w:rsidRPr="006F5E0A">
        <w:rPr>
          <w:rFonts w:ascii="Times New Roman" w:hAnsi="Times New Roman" w:cs="Times New Roman"/>
          <w:sz w:val="24"/>
          <w:szCs w:val="24"/>
        </w:rPr>
        <w:t>убедится,</w:t>
      </w:r>
      <w:r w:rsidR="00F416D2" w:rsidRPr="006F5E0A">
        <w:rPr>
          <w:rFonts w:ascii="Times New Roman" w:hAnsi="Times New Roman" w:cs="Times New Roman"/>
          <w:sz w:val="24"/>
          <w:szCs w:val="24"/>
        </w:rPr>
        <w:t xml:space="preserve"> что медицинский работник будет на рабочем месте</w:t>
      </w:r>
      <w:r w:rsidR="0008630E" w:rsidRPr="006F5E0A">
        <w:rPr>
          <w:rFonts w:ascii="Times New Roman" w:hAnsi="Times New Roman" w:cs="Times New Roman"/>
          <w:sz w:val="24"/>
          <w:szCs w:val="24"/>
        </w:rPr>
        <w:t>).</w:t>
      </w:r>
    </w:p>
    <w:p w14:paraId="320B8B93" w14:textId="77777777" w:rsidR="0008630E" w:rsidRPr="006F5E0A" w:rsidRDefault="0008630E" w:rsidP="006F5E0A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Извлеките накладную из упаковки и сравните ее с информацией о заказе. </w:t>
      </w:r>
    </w:p>
    <w:p w14:paraId="33D399EB" w14:textId="048D0BD5" w:rsidR="00841E46" w:rsidRPr="006F5E0A" w:rsidRDefault="0008630E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Проверять:</w:t>
      </w:r>
    </w:p>
    <w:p w14:paraId="18809704" w14:textId="57DA0524" w:rsidR="0008630E" w:rsidRPr="006F5E0A" w:rsidRDefault="0008630E" w:rsidP="006F5E0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Количество упаковок/флаконов совпадает с количеством упаковок, указанных в накладной, квитанции перевозчика или на устройстве, подтверждающем доставку (</w:t>
      </w:r>
      <w:r w:rsidRPr="006F5E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перечислить перечень необходимых документов для доставки согласно действующего законодательства</w:t>
      </w:r>
      <w:r w:rsidRPr="006F5E0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1250145" w14:textId="09608BA6" w:rsidR="0008630E" w:rsidRPr="006F5E0A" w:rsidRDefault="0008630E" w:rsidP="006F5E0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Все упаковки/флаконы в хорошем состоянии, никаких повреждений не видно.</w:t>
      </w:r>
    </w:p>
    <w:p w14:paraId="42B72BE6" w14:textId="4E2AC85A" w:rsidR="0008630E" w:rsidRPr="006F5E0A" w:rsidRDefault="0008630E" w:rsidP="006F5E0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Убедитесь, что в накладной и на внешней(вторичной) упаковке указан </w:t>
      </w:r>
      <w:r w:rsidR="000B4033" w:rsidRPr="006F5E0A">
        <w:rPr>
          <w:rFonts w:ascii="Times New Roman" w:hAnsi="Times New Roman" w:cs="Times New Roman"/>
          <w:sz w:val="24"/>
          <w:szCs w:val="24"/>
        </w:rPr>
        <w:t>новый срок годности, который отмечается центральным складом в момент отправки вакцины.</w:t>
      </w:r>
    </w:p>
    <w:p w14:paraId="6201B35B" w14:textId="57C0E9B2" w:rsidR="0008630E" w:rsidRPr="006F5E0A" w:rsidRDefault="0008630E" w:rsidP="006F5E0A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Все коробки адресованы правильно.</w:t>
      </w:r>
    </w:p>
    <w:p w14:paraId="2BF8B082" w14:textId="2DF254F5" w:rsidR="00841E46" w:rsidRPr="006F5E0A" w:rsidRDefault="0008630E" w:rsidP="006F5E0A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Если какая-либо часть поставки повреждена, отсутствует или иным образом отличается от ожидаемого:</w:t>
      </w:r>
    </w:p>
    <w:p w14:paraId="41E7AABB" w14:textId="6E068264" w:rsidR="007648D9" w:rsidRPr="006F5E0A" w:rsidRDefault="007648D9" w:rsidP="006F5E0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Отметить характер повреждения в накладной.</w:t>
      </w:r>
    </w:p>
    <w:p w14:paraId="6F8D9F72" w14:textId="35F144D1" w:rsidR="007648D9" w:rsidRPr="006F5E0A" w:rsidRDefault="007648D9" w:rsidP="006F5E0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Поместите повреждённую упаковку/флакон в холодильник на л</w:t>
      </w:r>
      <w:r w:rsidR="00F5268C" w:rsidRPr="006F5E0A">
        <w:rPr>
          <w:rFonts w:ascii="Times New Roman" w:hAnsi="Times New Roman" w:cs="Times New Roman"/>
          <w:sz w:val="24"/>
          <w:szCs w:val="24"/>
        </w:rPr>
        <w:t>о</w:t>
      </w:r>
      <w:r w:rsidRPr="006F5E0A">
        <w:rPr>
          <w:rFonts w:ascii="Times New Roman" w:hAnsi="Times New Roman" w:cs="Times New Roman"/>
          <w:sz w:val="24"/>
          <w:szCs w:val="24"/>
        </w:rPr>
        <w:t xml:space="preserve">ток с этикеткой КАРАНТИН. </w:t>
      </w:r>
    </w:p>
    <w:p w14:paraId="272ADE9D" w14:textId="18488699" w:rsidR="007648D9" w:rsidRPr="006F5E0A" w:rsidRDefault="007648D9" w:rsidP="006F5E0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Незамедлительно сообщить о</w:t>
      </w:r>
      <w:r w:rsidR="005C538B" w:rsidRPr="006F5E0A">
        <w:rPr>
          <w:rFonts w:ascii="Times New Roman" w:hAnsi="Times New Roman" w:cs="Times New Roman"/>
          <w:sz w:val="24"/>
          <w:szCs w:val="24"/>
        </w:rPr>
        <w:t xml:space="preserve"> любом выявленном повреждении</w:t>
      </w:r>
      <w:r w:rsidRPr="006F5E0A">
        <w:rPr>
          <w:rFonts w:ascii="Times New Roman" w:hAnsi="Times New Roman" w:cs="Times New Roman"/>
          <w:sz w:val="24"/>
          <w:szCs w:val="24"/>
        </w:rPr>
        <w:t xml:space="preserve"> назначенному ответственному лицу.</w:t>
      </w:r>
    </w:p>
    <w:p w14:paraId="32AAECCD" w14:textId="148480D4" w:rsidR="007648D9" w:rsidRPr="006F5E0A" w:rsidRDefault="007648D9" w:rsidP="006F5E0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Сохраняйте поврежденные товары или упаковку для последующей проверки поставщиком (</w:t>
      </w:r>
      <w:r w:rsidR="004453F8" w:rsidRPr="006F5E0A">
        <w:rPr>
          <w:rFonts w:ascii="Times New Roman" w:hAnsi="Times New Roman" w:cs="Times New Roman"/>
          <w:sz w:val="24"/>
          <w:szCs w:val="24"/>
        </w:rPr>
        <w:t xml:space="preserve">флаконы+ </w:t>
      </w:r>
      <w:r w:rsidRPr="006F5E0A">
        <w:rPr>
          <w:rFonts w:ascii="Times New Roman" w:hAnsi="Times New Roman" w:cs="Times New Roman"/>
          <w:sz w:val="24"/>
          <w:szCs w:val="24"/>
        </w:rPr>
        <w:t>сопутствующие товары).</w:t>
      </w:r>
    </w:p>
    <w:p w14:paraId="5D4988AB" w14:textId="45A1A25B" w:rsidR="007648D9" w:rsidRPr="006F5E0A" w:rsidRDefault="004453F8" w:rsidP="006F5E0A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Подтвердите накладную, чтобы указать:</w:t>
      </w:r>
    </w:p>
    <w:p w14:paraId="64DE4A28" w14:textId="1D9F3EC1" w:rsidR="004453F8" w:rsidRPr="006F5E0A" w:rsidRDefault="004453F8" w:rsidP="006F5E0A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Время получения в 24-часовом формате.</w:t>
      </w:r>
    </w:p>
    <w:p w14:paraId="01372452" w14:textId="612B492C" w:rsidR="004453F8" w:rsidRPr="006F5E0A" w:rsidRDefault="004453F8" w:rsidP="006F5E0A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Получен</w:t>
      </w:r>
      <w:r w:rsidR="000B4033" w:rsidRPr="006F5E0A">
        <w:rPr>
          <w:rFonts w:ascii="Times New Roman" w:hAnsi="Times New Roman" w:cs="Times New Roman"/>
          <w:sz w:val="24"/>
          <w:szCs w:val="24"/>
        </w:rPr>
        <w:t xml:space="preserve">ие </w:t>
      </w:r>
      <w:r w:rsidRPr="006F5E0A">
        <w:rPr>
          <w:rFonts w:ascii="Times New Roman" w:hAnsi="Times New Roman" w:cs="Times New Roman"/>
          <w:sz w:val="24"/>
          <w:szCs w:val="24"/>
        </w:rPr>
        <w:t>заказанн</w:t>
      </w:r>
      <w:r w:rsidR="000B4033" w:rsidRPr="006F5E0A">
        <w:rPr>
          <w:rFonts w:ascii="Times New Roman" w:hAnsi="Times New Roman" w:cs="Times New Roman"/>
          <w:sz w:val="24"/>
          <w:szCs w:val="24"/>
        </w:rPr>
        <w:t>ого</w:t>
      </w:r>
      <w:r w:rsidRPr="006F5E0A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0B4033" w:rsidRPr="006F5E0A">
        <w:rPr>
          <w:rFonts w:ascii="Times New Roman" w:hAnsi="Times New Roman" w:cs="Times New Roman"/>
          <w:sz w:val="24"/>
          <w:szCs w:val="24"/>
        </w:rPr>
        <w:t>а</w:t>
      </w:r>
      <w:r w:rsidRPr="006F5E0A">
        <w:rPr>
          <w:rFonts w:ascii="Times New Roman" w:hAnsi="Times New Roman" w:cs="Times New Roman"/>
          <w:sz w:val="24"/>
          <w:szCs w:val="24"/>
        </w:rPr>
        <w:t>.</w:t>
      </w:r>
    </w:p>
    <w:p w14:paraId="71D2B9C2" w14:textId="3222524A" w:rsidR="004453F8" w:rsidRPr="006F5E0A" w:rsidRDefault="000B4033" w:rsidP="006F5E0A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lastRenderedPageBreak/>
        <w:t>Правильное к</w:t>
      </w:r>
      <w:r w:rsidR="004453F8" w:rsidRPr="006F5E0A">
        <w:rPr>
          <w:rFonts w:ascii="Times New Roman" w:hAnsi="Times New Roman" w:cs="Times New Roman"/>
          <w:sz w:val="24"/>
          <w:szCs w:val="24"/>
        </w:rPr>
        <w:t>оличество.</w:t>
      </w:r>
    </w:p>
    <w:p w14:paraId="70EACB03" w14:textId="070DE2FF" w:rsidR="00841E46" w:rsidRPr="006F5E0A" w:rsidRDefault="004453F8" w:rsidP="006F5E0A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Корректность номеров партий и даты истечения срока годности.</w:t>
      </w:r>
    </w:p>
    <w:p w14:paraId="3ACA1100" w14:textId="77777777" w:rsidR="000825EC" w:rsidRPr="006F5E0A" w:rsidRDefault="000825EC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11C426" w14:textId="7767BFBA" w:rsidR="00B96D91" w:rsidRPr="006F5E0A" w:rsidRDefault="00E268FA" w:rsidP="006F5E0A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Распаковка и хранение вакцины в холодильнике</w:t>
      </w:r>
    </w:p>
    <w:p w14:paraId="62334791" w14:textId="7B3905EF" w:rsidR="00E268FA" w:rsidRPr="006F5E0A" w:rsidRDefault="00E268FA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Незамедлительно поместите вакцины в соответствующий холодильник для вакцин, указав самую короткую дату </w:t>
      </w:r>
      <w:r w:rsidR="00704C88" w:rsidRPr="006F5E0A">
        <w:rPr>
          <w:rFonts w:ascii="Times New Roman" w:hAnsi="Times New Roman" w:cs="Times New Roman"/>
          <w:sz w:val="24"/>
          <w:szCs w:val="24"/>
        </w:rPr>
        <w:t>в поле зрения</w:t>
      </w:r>
      <w:r w:rsidRPr="006F5E0A">
        <w:rPr>
          <w:rFonts w:ascii="Times New Roman" w:hAnsi="Times New Roman" w:cs="Times New Roman"/>
          <w:sz w:val="24"/>
          <w:szCs w:val="24"/>
        </w:rPr>
        <w:t>, чтобы обеспечить адекватный оборот запасов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по принципу </w:t>
      </w:r>
      <w:r w:rsidR="00704C88" w:rsidRPr="006F5E0A">
        <w:rPr>
          <w:rFonts w:ascii="Times New Roman" w:hAnsi="Times New Roman" w:cs="Times New Roman"/>
          <w:sz w:val="24"/>
          <w:szCs w:val="24"/>
          <w:lang w:val="en-US"/>
        </w:rPr>
        <w:t>FEFO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(</w:t>
      </w:r>
      <w:r w:rsidR="00704C88" w:rsidRPr="006F5E0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="00704C88" w:rsidRPr="006F5E0A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="00704C88" w:rsidRPr="006F5E0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="00704C88" w:rsidRPr="006F5E0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04C88" w:rsidRPr="006F5E0A">
        <w:rPr>
          <w:rFonts w:ascii="Times New Roman" w:hAnsi="Times New Roman" w:cs="Times New Roman"/>
          <w:sz w:val="24"/>
          <w:szCs w:val="24"/>
        </w:rPr>
        <w:t>).</w:t>
      </w:r>
      <w:r w:rsidRPr="006F5E0A">
        <w:rPr>
          <w:rFonts w:ascii="Times New Roman" w:hAnsi="Times New Roman" w:cs="Times New Roman"/>
          <w:sz w:val="24"/>
          <w:szCs w:val="24"/>
        </w:rPr>
        <w:t xml:space="preserve"> Флаконы с вакциной против COVID-19 (Comirnaty) Pfizer-BioNTech должны всегда оставаться в вертикальном положении. Если в одном холодильнике хранится более одного типа вакцины COVID-19, убедитесь, что они разделены</w:t>
      </w:r>
      <w:r w:rsidR="00704C88" w:rsidRPr="006F5E0A">
        <w:rPr>
          <w:rFonts w:ascii="Times New Roman" w:hAnsi="Times New Roman" w:cs="Times New Roman"/>
          <w:sz w:val="24"/>
          <w:szCs w:val="24"/>
        </w:rPr>
        <w:t xml:space="preserve"> физически</w:t>
      </w:r>
      <w:r w:rsidRPr="006F5E0A">
        <w:rPr>
          <w:rFonts w:ascii="Times New Roman" w:hAnsi="Times New Roman" w:cs="Times New Roman"/>
          <w:sz w:val="24"/>
          <w:szCs w:val="24"/>
        </w:rPr>
        <w:t>.</w:t>
      </w:r>
    </w:p>
    <w:p w14:paraId="55A58C99" w14:textId="77777777" w:rsidR="006C00BF" w:rsidRPr="006F5E0A" w:rsidRDefault="006C00BF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187C8C9" w14:textId="61EAEDCA" w:rsidR="006C00BF" w:rsidRPr="006F5E0A" w:rsidRDefault="006C00BF" w:rsidP="006F5E0A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Регистрация </w:t>
      </w:r>
      <w:r w:rsidR="003A4CF8" w:rsidRPr="006F5E0A">
        <w:rPr>
          <w:rFonts w:ascii="Times New Roman" w:hAnsi="Times New Roman" w:cs="Times New Roman"/>
          <w:b/>
          <w:bCs/>
          <w:sz w:val="24"/>
          <w:szCs w:val="24"/>
        </w:rPr>
        <w:t>поступлений вакцины «</w:t>
      </w:r>
      <w:proofErr w:type="spellStart"/>
      <w:r w:rsidR="006F5E0A" w:rsidRPr="006F5E0A">
        <w:rPr>
          <w:rFonts w:ascii="Times New Roman" w:hAnsi="Times New Roman" w:cs="Times New Roman"/>
          <w:b/>
          <w:bCs/>
          <w:sz w:val="24"/>
          <w:szCs w:val="24"/>
        </w:rPr>
        <w:t>Комирнати</w:t>
      </w:r>
      <w:proofErr w:type="spellEnd"/>
      <w:r w:rsidR="003A4CF8" w:rsidRPr="006F5E0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4A1696F" w14:textId="58D70184" w:rsidR="006C00BF" w:rsidRPr="006F5E0A" w:rsidRDefault="006C00BF" w:rsidP="006F5E0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3A4CF8" w:rsidRPr="006F5E0A">
        <w:rPr>
          <w:rFonts w:ascii="Times New Roman" w:hAnsi="Times New Roman" w:cs="Times New Roman"/>
          <w:sz w:val="24"/>
          <w:szCs w:val="24"/>
        </w:rPr>
        <w:t>и учет движения вакцины против КВИ «</w:t>
      </w:r>
      <w:proofErr w:type="spellStart"/>
      <w:r w:rsidR="003A4CF8" w:rsidRPr="006F5E0A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="003A4CF8" w:rsidRPr="006F5E0A">
        <w:rPr>
          <w:rFonts w:ascii="Times New Roman" w:hAnsi="Times New Roman" w:cs="Times New Roman"/>
          <w:sz w:val="24"/>
          <w:szCs w:val="24"/>
        </w:rPr>
        <w:t xml:space="preserve">» ведётся в журнале движения вакцин согласно приложению 3 к Методическим рекомендациям «Проведение вакцинации населения против </w:t>
      </w:r>
      <w:proofErr w:type="spellStart"/>
      <w:r w:rsidR="003A4CF8" w:rsidRPr="006F5E0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A4CF8" w:rsidRPr="006F5E0A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="003A4CF8" w:rsidRPr="006F5E0A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="003A4CF8" w:rsidRPr="006F5E0A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="003A4CF8" w:rsidRPr="006F5E0A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="003A4CF8" w:rsidRPr="006F5E0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3A4CF8" w:rsidRPr="006F5E0A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="003A4CF8" w:rsidRPr="006F5E0A">
        <w:rPr>
          <w:rFonts w:ascii="Times New Roman" w:hAnsi="Times New Roman" w:cs="Times New Roman"/>
          <w:sz w:val="24"/>
          <w:szCs w:val="24"/>
        </w:rPr>
        <w:t>, США) в Республике Казахстан»</w:t>
      </w:r>
    </w:p>
    <w:p w14:paraId="0BAFAC85" w14:textId="77777777" w:rsidR="009C27A8" w:rsidRPr="006F5E0A" w:rsidRDefault="009C27A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F7FFDD" w14:textId="003200FF" w:rsidR="006C00BF" w:rsidRPr="006F5E0A" w:rsidRDefault="006C00BF" w:rsidP="006F5E0A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Устранение проблем и ошибок при доставке </w:t>
      </w:r>
      <w:r w:rsidR="009C27A8" w:rsidRPr="006F5E0A">
        <w:rPr>
          <w:rFonts w:ascii="Times New Roman" w:hAnsi="Times New Roman" w:cs="Times New Roman"/>
          <w:b/>
          <w:bCs/>
          <w:sz w:val="24"/>
          <w:szCs w:val="24"/>
        </w:rPr>
        <w:t xml:space="preserve">на уровень ПМСП </w:t>
      </w:r>
      <w:r w:rsidRPr="006F5E0A">
        <w:rPr>
          <w:rFonts w:ascii="Times New Roman" w:hAnsi="Times New Roman" w:cs="Times New Roman"/>
          <w:b/>
          <w:bCs/>
          <w:sz w:val="24"/>
          <w:szCs w:val="24"/>
        </w:rPr>
        <w:t>назначенным ответственным лицом</w:t>
      </w:r>
    </w:p>
    <w:p w14:paraId="195CD416" w14:textId="1C74B344" w:rsidR="009C27A8" w:rsidRPr="006F5E0A" w:rsidRDefault="009C27A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 случае если товар прибыл:</w:t>
      </w:r>
    </w:p>
    <w:p w14:paraId="13F9329B" w14:textId="0F79A9EA" w:rsidR="009C27A8" w:rsidRPr="006F5E0A" w:rsidRDefault="009C27A8" w:rsidP="006F5E0A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Поврежденный</w:t>
      </w:r>
    </w:p>
    <w:p w14:paraId="05F6627B" w14:textId="5A1F8B03" w:rsidR="009C27A8" w:rsidRPr="006F5E0A" w:rsidRDefault="009C27A8" w:rsidP="006F5E0A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E0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6F5E0A">
        <w:rPr>
          <w:rFonts w:ascii="Times New Roman" w:hAnsi="Times New Roman" w:cs="Times New Roman"/>
          <w:sz w:val="24"/>
          <w:szCs w:val="24"/>
        </w:rPr>
        <w:t xml:space="preserve"> количество, которое отличается от заказа на поставку или в накладной</w:t>
      </w:r>
    </w:p>
    <w:p w14:paraId="0724D6B9" w14:textId="44B37FA9" w:rsidR="009C27A8" w:rsidRPr="006F5E0A" w:rsidRDefault="009C27A8" w:rsidP="006F5E0A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E0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6F5E0A">
        <w:rPr>
          <w:rFonts w:ascii="Times New Roman" w:hAnsi="Times New Roman" w:cs="Times New Roman"/>
          <w:sz w:val="24"/>
          <w:szCs w:val="24"/>
        </w:rPr>
        <w:t xml:space="preserve"> есть другие несоответствия</w:t>
      </w:r>
    </w:p>
    <w:p w14:paraId="35353DE1" w14:textId="6D7A133A" w:rsidR="009C27A8" w:rsidRPr="006F5E0A" w:rsidRDefault="009C27A8" w:rsidP="006F5E0A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E0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6F5E0A">
        <w:rPr>
          <w:rFonts w:ascii="Times New Roman" w:hAnsi="Times New Roman" w:cs="Times New Roman"/>
          <w:sz w:val="24"/>
          <w:szCs w:val="24"/>
        </w:rPr>
        <w:t xml:space="preserve"> товар частично/полностью отсутствует</w:t>
      </w:r>
    </w:p>
    <w:p w14:paraId="7F4078A6" w14:textId="7C7AB5EE" w:rsidR="009C27A8" w:rsidRPr="006F5E0A" w:rsidRDefault="009C27A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</w:rPr>
        <w:t>В таком случае необходимо обратиться к ведущему фармацевту ПМСП, который затем сможет связаться с ведущим терапевтом ПМСП.</w:t>
      </w:r>
    </w:p>
    <w:p w14:paraId="56F7CF9D" w14:textId="77777777" w:rsidR="009C27A8" w:rsidRPr="006F5E0A" w:rsidRDefault="009C27A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CFCB36" w14:textId="77777777" w:rsidR="00291981" w:rsidRPr="006F5E0A" w:rsidRDefault="00B96D91" w:rsidP="006F5E0A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E0A">
        <w:rPr>
          <w:rFonts w:ascii="Times New Roman" w:hAnsi="Times New Roman" w:cs="Times New Roman"/>
          <w:b/>
          <w:bCs/>
          <w:sz w:val="24"/>
          <w:szCs w:val="24"/>
        </w:rPr>
        <w:t>История документа</w:t>
      </w:r>
    </w:p>
    <w:p w14:paraId="469DE971" w14:textId="4B620755" w:rsidR="00B96D91" w:rsidRPr="006F5E0A" w:rsidRDefault="00B96D91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E0A">
        <w:rPr>
          <w:rFonts w:ascii="Times New Roman" w:hAnsi="Times New Roman" w:cs="Times New Roman"/>
          <w:sz w:val="24"/>
          <w:szCs w:val="24"/>
          <w:lang w:val="en-US"/>
        </w:rPr>
        <w:t>V.1.1</w:t>
      </w:r>
      <w:r w:rsidRPr="006F5E0A">
        <w:rPr>
          <w:rFonts w:ascii="Times New Roman" w:hAnsi="Times New Roman" w:cs="Times New Roman"/>
          <w:sz w:val="24"/>
          <w:szCs w:val="24"/>
        </w:rPr>
        <w:t xml:space="preserve"> </w:t>
      </w:r>
      <w:r w:rsidRPr="006F5E0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F5E0A">
        <w:rPr>
          <w:rFonts w:ascii="Times New Roman" w:hAnsi="Times New Roman" w:cs="Times New Roman"/>
          <w:sz w:val="24"/>
          <w:szCs w:val="24"/>
        </w:rPr>
        <w:t xml:space="preserve"> Первое издание</w:t>
      </w:r>
    </w:p>
    <w:p w14:paraId="0AC034AE" w14:textId="0AB1A0CD" w:rsidR="003A4CF8" w:rsidRPr="006F5E0A" w:rsidRDefault="003A4CF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7284AE" w14:textId="5358E77E" w:rsidR="003A4CF8" w:rsidRPr="006F5E0A" w:rsidRDefault="003A4CF8" w:rsidP="006F5E0A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B5B647" w14:textId="77777777" w:rsidR="003A4CF8" w:rsidRPr="006F5E0A" w:rsidRDefault="003A4CF8" w:rsidP="006F5E0A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83A9A" w14:textId="1EB6326D" w:rsidR="007C33FE" w:rsidRPr="006F5E0A" w:rsidRDefault="007C33FE" w:rsidP="006F5E0A">
      <w:pPr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C33FE" w:rsidRPr="006F5E0A" w:rsidSect="00DF0F79">
      <w:headerReference w:type="default" r:id="rId8"/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4175" w14:textId="77777777" w:rsidR="009C03BA" w:rsidRDefault="009C03BA" w:rsidP="00C9369E">
      <w:pPr>
        <w:spacing w:after="0" w:line="240" w:lineRule="auto"/>
      </w:pPr>
      <w:r>
        <w:separator/>
      </w:r>
    </w:p>
  </w:endnote>
  <w:endnote w:type="continuationSeparator" w:id="0">
    <w:p w14:paraId="10B4FCC1" w14:textId="77777777" w:rsidR="009C03BA" w:rsidRDefault="009C03BA" w:rsidP="00C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1276"/>
      <w:gridCol w:w="2694"/>
      <w:gridCol w:w="992"/>
      <w:gridCol w:w="2268"/>
      <w:gridCol w:w="709"/>
      <w:gridCol w:w="2077"/>
    </w:tblGrid>
    <w:tr w:rsidR="00DF0F79" w14:paraId="1ED12575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3861F7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Разработано: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B732760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BBA585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6DC63A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FE84AF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D91009B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4A7397C2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896C99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Проверено: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BC0F974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52EAF2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B0361F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1BD1E393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E1443A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3554230E" w14:textId="77777777" w:rsidTr="00DF0F79">
      <w:trPr>
        <w:trHeight w:val="291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F91DB9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Утверждено: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A33D0D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669F0D7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9494F21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C6D9BE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402AA8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</w:tbl>
  <w:p w14:paraId="591725BF" w14:textId="354E606D" w:rsidR="00C9369E" w:rsidRPr="00443294" w:rsidRDefault="00C9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17125" w14:textId="77777777" w:rsidR="009C03BA" w:rsidRDefault="009C03BA" w:rsidP="00C9369E">
      <w:pPr>
        <w:spacing w:after="0" w:line="240" w:lineRule="auto"/>
      </w:pPr>
      <w:r>
        <w:separator/>
      </w:r>
    </w:p>
  </w:footnote>
  <w:footnote w:type="continuationSeparator" w:id="0">
    <w:p w14:paraId="1D891230" w14:textId="77777777" w:rsidR="009C03BA" w:rsidRDefault="009C03BA" w:rsidP="00C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2630"/>
      <w:gridCol w:w="5315"/>
      <w:gridCol w:w="2047"/>
    </w:tblGrid>
    <w:tr w:rsidR="00957978" w14:paraId="1C90F271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50508BE" w14:textId="77777777" w:rsidR="00957978" w:rsidRPr="006251B3" w:rsidRDefault="00957978" w:rsidP="00957978">
          <w:pPr>
            <w:rPr>
              <w:rFonts w:ascii="Arial" w:hAnsi="Arial" w:cs="Arial"/>
              <w:b/>
              <w:bCs/>
              <w:i/>
              <w:iCs/>
            </w:rPr>
          </w:pPr>
          <w:bookmarkStart w:id="1" w:name="_Hlk84935035"/>
          <w:r w:rsidRPr="006251B3">
            <w:rPr>
              <w:rFonts w:ascii="Arial" w:hAnsi="Arial" w:cs="Arial"/>
              <w:b/>
              <w:bCs/>
              <w:i/>
              <w:iCs/>
              <w:color w:val="FF0000"/>
            </w:rPr>
            <w:t>Использовать только на ПМСП уровне!!!</w:t>
          </w:r>
        </w:p>
      </w:tc>
      <w:tc>
        <w:tcPr>
          <w:tcW w:w="2023" w:type="dxa"/>
          <w:vMerge w:val="restart"/>
          <w:tcBorders>
            <w:top w:val="single" w:sz="4" w:space="0" w:color="4472C4" w:themeColor="accent1"/>
            <w:left w:val="single" w:sz="4" w:space="0" w:color="4472C4" w:themeColor="accent1"/>
            <w:right w:val="single" w:sz="4" w:space="0" w:color="4472C4" w:themeColor="accent1"/>
          </w:tcBorders>
        </w:tcPr>
        <w:p w14:paraId="0D2D43DB" w14:textId="77777777" w:rsidR="00957978" w:rsidRDefault="00957978" w:rsidP="00957978">
          <w:r>
            <w:object w:dxaOrig="1853" w:dyaOrig="1830" w14:anchorId="7A63E2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83.25pt" o:ole="">
                <v:imagedata r:id="rId1" o:title=""/>
              </v:shape>
              <o:OLEObject Type="Embed" ProgID="PBrush" ShapeID="_x0000_i1025" DrawAspect="Content" ObjectID="_1697548047" r:id="rId2"/>
            </w:object>
          </w:r>
        </w:p>
      </w:tc>
    </w:tr>
    <w:tr w:rsidR="00957978" w14:paraId="32753C67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FB19045" w14:textId="0E375B62" w:rsidR="00957978" w:rsidRPr="006251B3" w:rsidRDefault="00957978" w:rsidP="002A4246">
          <w:pPr>
            <w:rPr>
              <w:rFonts w:ascii="Arial" w:hAnsi="Arial" w:cs="Arial"/>
              <w:b/>
              <w:bCs/>
            </w:rPr>
          </w:pPr>
          <w:r w:rsidRPr="006251B3">
            <w:rPr>
              <w:rFonts w:ascii="Arial" w:hAnsi="Arial" w:cs="Arial"/>
              <w:b/>
              <w:bCs/>
            </w:rPr>
            <w:t>СОП: КУ2.</w:t>
          </w:r>
          <w:r w:rsidR="002A4246"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59F8A23F" w14:textId="77777777" w:rsidR="00957978" w:rsidRDefault="00957978" w:rsidP="00957978"/>
      </w:tc>
    </w:tr>
    <w:tr w:rsidR="00957978" w14:paraId="66A9434E" w14:textId="77777777" w:rsidTr="00BA4BB2">
      <w:trPr>
        <w:trHeight w:val="440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69B1C60" w14:textId="7373C2C0" w:rsidR="00957978" w:rsidRPr="006251B3" w:rsidRDefault="00957978" w:rsidP="002A4246">
          <w:pPr>
            <w:pStyle w:val="a4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Приём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и размещение </w:t>
          </w:r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Pfizer-BioNTech-COVID-19-Vaccine (</w:t>
          </w:r>
          <w:proofErr w:type="spellStart"/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Комир</w:t>
          </w:r>
          <w:r w:rsidR="002A4246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на</w:t>
          </w:r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ти</w:t>
          </w:r>
          <w:proofErr w:type="spellEnd"/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) на 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уровн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е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</w:t>
          </w:r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ПМСП 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179C6A5E" w14:textId="77777777" w:rsidR="00957978" w:rsidRDefault="00957978" w:rsidP="00957978"/>
      </w:tc>
    </w:tr>
    <w:tr w:rsidR="00957978" w14:paraId="723B0A5D" w14:textId="77777777" w:rsidTr="00BA4BB2">
      <w:trPr>
        <w:trHeight w:val="252"/>
      </w:trPr>
      <w:tc>
        <w:tcPr>
          <w:tcW w:w="2630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687F928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Версия: V.1.1</w:t>
          </w:r>
        </w:p>
      </w:tc>
      <w:tc>
        <w:tcPr>
          <w:tcW w:w="5315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6E23A3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Дата вступления в силу: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159EF39" w14:textId="77777777" w:rsidR="00957978" w:rsidRDefault="00957978" w:rsidP="00957978"/>
      </w:tc>
    </w:tr>
    <w:bookmarkEnd w:id="1"/>
  </w:tbl>
  <w:p w14:paraId="0949F9A2" w14:textId="77777777" w:rsidR="008425AB" w:rsidRPr="008425AB" w:rsidRDefault="008425AB">
    <w:pPr>
      <w:pStyle w:val="a4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1D0"/>
    <w:multiLevelType w:val="hybridMultilevel"/>
    <w:tmpl w:val="F0BE679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182D3CC1"/>
    <w:multiLevelType w:val="hybridMultilevel"/>
    <w:tmpl w:val="DBD29A6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3ECF4765"/>
    <w:multiLevelType w:val="hybridMultilevel"/>
    <w:tmpl w:val="7298CF7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46B72A5A"/>
    <w:multiLevelType w:val="hybridMultilevel"/>
    <w:tmpl w:val="EEE0A6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47084862"/>
    <w:multiLevelType w:val="multilevel"/>
    <w:tmpl w:val="1C52F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3A"/>
    <w:rsid w:val="00025A53"/>
    <w:rsid w:val="000825EC"/>
    <w:rsid w:val="0008630E"/>
    <w:rsid w:val="000B4033"/>
    <w:rsid w:val="00102A60"/>
    <w:rsid w:val="00136FDD"/>
    <w:rsid w:val="001775A8"/>
    <w:rsid w:val="001C5448"/>
    <w:rsid w:val="0020693B"/>
    <w:rsid w:val="00291981"/>
    <w:rsid w:val="002A4246"/>
    <w:rsid w:val="002D46E6"/>
    <w:rsid w:val="003844F6"/>
    <w:rsid w:val="003A4CF8"/>
    <w:rsid w:val="003E34F8"/>
    <w:rsid w:val="00437345"/>
    <w:rsid w:val="00441B78"/>
    <w:rsid w:val="00443294"/>
    <w:rsid w:val="00443BEB"/>
    <w:rsid w:val="004453F8"/>
    <w:rsid w:val="004632AD"/>
    <w:rsid w:val="004B65ED"/>
    <w:rsid w:val="00500684"/>
    <w:rsid w:val="0058649A"/>
    <w:rsid w:val="005A56DC"/>
    <w:rsid w:val="005A7DCA"/>
    <w:rsid w:val="005C0307"/>
    <w:rsid w:val="005C538B"/>
    <w:rsid w:val="006844E2"/>
    <w:rsid w:val="006A313C"/>
    <w:rsid w:val="006A77F1"/>
    <w:rsid w:val="006C00BF"/>
    <w:rsid w:val="006C5768"/>
    <w:rsid w:val="006D5C7F"/>
    <w:rsid w:val="006F5E0A"/>
    <w:rsid w:val="00704C88"/>
    <w:rsid w:val="0074685D"/>
    <w:rsid w:val="007648D9"/>
    <w:rsid w:val="007C33FE"/>
    <w:rsid w:val="00841E46"/>
    <w:rsid w:val="008425AB"/>
    <w:rsid w:val="00957978"/>
    <w:rsid w:val="009C03BA"/>
    <w:rsid w:val="009C27A8"/>
    <w:rsid w:val="00A73D25"/>
    <w:rsid w:val="00B20C99"/>
    <w:rsid w:val="00B96D91"/>
    <w:rsid w:val="00C17C5C"/>
    <w:rsid w:val="00C21A3A"/>
    <w:rsid w:val="00C22674"/>
    <w:rsid w:val="00C57870"/>
    <w:rsid w:val="00C9369E"/>
    <w:rsid w:val="00DB422F"/>
    <w:rsid w:val="00DE3CFE"/>
    <w:rsid w:val="00DF0F79"/>
    <w:rsid w:val="00E2112C"/>
    <w:rsid w:val="00E268FA"/>
    <w:rsid w:val="00E355C8"/>
    <w:rsid w:val="00F24C38"/>
    <w:rsid w:val="00F416D2"/>
    <w:rsid w:val="00F5268C"/>
    <w:rsid w:val="00FA685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3E62E"/>
  <w15:chartTrackingRefBased/>
  <w15:docId w15:val="{96B744B4-8505-48E1-8AE6-7013999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69E"/>
  </w:style>
  <w:style w:type="paragraph" w:styleId="a6">
    <w:name w:val="footer"/>
    <w:basedOn w:val="a"/>
    <w:link w:val="a7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69E"/>
  </w:style>
  <w:style w:type="character" w:styleId="a8">
    <w:name w:val="Placeholder Text"/>
    <w:basedOn w:val="a0"/>
    <w:uiPriority w:val="99"/>
    <w:semiHidden/>
    <w:rsid w:val="00C9369E"/>
    <w:rPr>
      <w:color w:val="808080"/>
    </w:rPr>
  </w:style>
  <w:style w:type="table" w:styleId="a9">
    <w:name w:val="Table Grid"/>
    <w:basedOn w:val="a1"/>
    <w:uiPriority w:val="39"/>
    <w:rsid w:val="0044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aliases w:val="Heading 9 Char1"/>
    <w:basedOn w:val="a0"/>
    <w:uiPriority w:val="99"/>
    <w:unhideWhenUsed/>
    <w:rsid w:val="00684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44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44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4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122E-52A3-45FA-A5CE-8F9A9CDE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LIUBARSKYI, Maksym</dc:creator>
  <cp:keywords/>
  <dc:description/>
  <cp:lastModifiedBy>epid3</cp:lastModifiedBy>
  <cp:revision>32</cp:revision>
  <cp:lastPrinted>2021-10-14T05:24:00Z</cp:lastPrinted>
  <dcterms:created xsi:type="dcterms:W3CDTF">2021-10-12T04:12:00Z</dcterms:created>
  <dcterms:modified xsi:type="dcterms:W3CDTF">2021-11-04T10:21:00Z</dcterms:modified>
</cp:coreProperties>
</file>